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3" w:firstLineChars="200"/>
        <w:jc w:val="center"/>
        <w:rPr>
          <w:rFonts w:ascii="宋体" w:hAnsi="宋体" w:eastAsia="宋体" w:cs="宋体"/>
          <w:b/>
          <w:sz w:val="32"/>
          <w:szCs w:val="32"/>
        </w:rPr>
      </w:pPr>
      <w:bookmarkStart w:id="22" w:name="_GoBack"/>
      <w:bookmarkEnd w:id="22"/>
      <w:r>
        <w:rPr>
          <w:rFonts w:hint="eastAsia" w:ascii="宋体" w:hAnsi="宋体" w:eastAsia="宋体" w:cs="宋体"/>
          <w:b/>
          <w:sz w:val="32"/>
          <w:szCs w:val="32"/>
        </w:rPr>
        <w:t>广东江门中医药职业学院中药材生产与加工专业人才培养方案</w:t>
      </w:r>
    </w:p>
    <w:p>
      <w:pPr>
        <w:snapToGrid w:val="0"/>
        <w:spacing w:line="360" w:lineRule="auto"/>
        <w:ind w:firstLine="482" w:firstLineChars="200"/>
        <w:rPr>
          <w:rFonts w:ascii="宋体" w:hAnsi="宋体" w:eastAsia="宋体" w:cs="宋体"/>
          <w:b/>
          <w:sz w:val="24"/>
        </w:rPr>
      </w:pPr>
    </w:p>
    <w:p>
      <w:pPr>
        <w:snapToGrid w:val="0"/>
        <w:spacing w:line="360" w:lineRule="auto"/>
        <w:rPr>
          <w:rFonts w:ascii="宋体" w:hAnsi="宋体" w:eastAsia="宋体" w:cs="宋体"/>
          <w:b/>
          <w:sz w:val="24"/>
        </w:rPr>
      </w:pPr>
      <w:r>
        <w:rPr>
          <w:rFonts w:hint="eastAsia" w:ascii="宋体" w:hAnsi="宋体" w:eastAsia="宋体" w:cs="宋体"/>
          <w:b/>
          <w:sz w:val="24"/>
        </w:rPr>
        <w:t>一、专业名称及代码</w:t>
      </w:r>
    </w:p>
    <w:p>
      <w:pPr>
        <w:spacing w:line="360" w:lineRule="auto"/>
        <w:ind w:firstLine="480" w:firstLineChars="200"/>
        <w:rPr>
          <w:rFonts w:ascii="宋体" w:hAnsi="宋体" w:eastAsia="宋体" w:cs="宋体"/>
          <w:sz w:val="24"/>
        </w:rPr>
      </w:pPr>
      <w:r>
        <w:rPr>
          <w:rFonts w:hint="eastAsia" w:ascii="宋体" w:hAnsi="宋体" w:eastAsia="宋体" w:cs="宋体"/>
          <w:sz w:val="24"/>
        </w:rPr>
        <w:t>（一）专业名称  中药材生产与加工</w:t>
      </w:r>
    </w:p>
    <w:p>
      <w:pPr>
        <w:pStyle w:val="10"/>
        <w:spacing w:line="360" w:lineRule="auto"/>
        <w:ind w:firstLine="480"/>
        <w:rPr>
          <w:rFonts w:ascii="宋体" w:hAnsi="宋体" w:eastAsia="宋体" w:cs="宋体"/>
          <w:sz w:val="24"/>
        </w:rPr>
      </w:pPr>
      <w:r>
        <w:rPr>
          <w:rFonts w:hint="eastAsia" w:ascii="宋体" w:hAnsi="宋体" w:eastAsia="宋体" w:cs="宋体"/>
          <w:sz w:val="24"/>
        </w:rPr>
        <w:t xml:space="preserve">（二）专业代码  </w:t>
      </w:r>
      <w:r>
        <w:rPr>
          <w:rFonts w:hint="eastAsia" w:ascii="宋体" w:hAnsi="宋体" w:eastAsia="宋体" w:cs="宋体"/>
          <w:kern w:val="0"/>
          <w:sz w:val="24"/>
        </w:rPr>
        <w:t>520414</w:t>
      </w:r>
    </w:p>
    <w:p>
      <w:pPr>
        <w:snapToGrid w:val="0"/>
        <w:spacing w:line="360" w:lineRule="auto"/>
        <w:rPr>
          <w:rFonts w:ascii="宋体" w:hAnsi="宋体" w:eastAsia="宋体" w:cs="宋体"/>
          <w:b/>
          <w:sz w:val="24"/>
        </w:rPr>
      </w:pPr>
      <w:r>
        <w:rPr>
          <w:rFonts w:hint="eastAsia" w:ascii="宋体" w:hAnsi="宋体" w:eastAsia="宋体" w:cs="宋体"/>
          <w:b/>
          <w:sz w:val="24"/>
        </w:rPr>
        <w:t>二、入学要求</w:t>
      </w:r>
    </w:p>
    <w:p>
      <w:pPr>
        <w:spacing w:line="360" w:lineRule="auto"/>
        <w:ind w:firstLine="480" w:firstLineChars="200"/>
        <w:rPr>
          <w:rFonts w:ascii="宋体" w:hAnsi="宋体" w:eastAsia="宋体" w:cs="宋体"/>
          <w:sz w:val="24"/>
        </w:rPr>
      </w:pPr>
      <w:r>
        <w:rPr>
          <w:rFonts w:hint="eastAsia" w:ascii="宋体" w:hAnsi="宋体" w:eastAsia="宋体" w:cs="宋体"/>
          <w:sz w:val="24"/>
        </w:rPr>
        <w:t>普通高中毕业生/中等职业学校毕业生</w:t>
      </w:r>
    </w:p>
    <w:p>
      <w:pPr>
        <w:snapToGrid w:val="0"/>
        <w:spacing w:line="360" w:lineRule="auto"/>
        <w:rPr>
          <w:rFonts w:ascii="宋体" w:hAnsi="宋体" w:eastAsia="宋体" w:cs="宋体"/>
          <w:b/>
          <w:sz w:val="24"/>
        </w:rPr>
      </w:pPr>
      <w:r>
        <w:rPr>
          <w:rFonts w:hint="eastAsia" w:ascii="宋体" w:hAnsi="宋体" w:eastAsia="宋体" w:cs="宋体"/>
          <w:b/>
          <w:sz w:val="24"/>
        </w:rPr>
        <w:t>三、修业年限</w:t>
      </w:r>
    </w:p>
    <w:p>
      <w:pPr>
        <w:spacing w:line="360" w:lineRule="auto"/>
        <w:ind w:firstLine="480" w:firstLineChars="200"/>
        <w:rPr>
          <w:rFonts w:ascii="宋体" w:hAnsi="宋体" w:eastAsia="宋体" w:cs="宋体"/>
          <w:sz w:val="24"/>
        </w:rPr>
      </w:pPr>
      <w:r>
        <w:rPr>
          <w:rFonts w:hint="eastAsia" w:ascii="宋体" w:hAnsi="宋体" w:eastAsia="宋体" w:cs="宋体"/>
          <w:sz w:val="24"/>
        </w:rPr>
        <w:t>全日制3年</w:t>
      </w:r>
    </w:p>
    <w:p>
      <w:pPr>
        <w:snapToGrid w:val="0"/>
        <w:spacing w:line="360" w:lineRule="auto"/>
        <w:rPr>
          <w:rFonts w:ascii="宋体" w:hAnsi="宋体" w:eastAsia="宋体" w:cs="宋体"/>
          <w:b/>
          <w:sz w:val="24"/>
        </w:rPr>
      </w:pPr>
      <w:r>
        <w:rPr>
          <w:rFonts w:hint="eastAsia" w:ascii="宋体" w:hAnsi="宋体" w:eastAsia="宋体" w:cs="宋体"/>
          <w:b/>
          <w:sz w:val="24"/>
        </w:rPr>
        <w:t>四、就业面向</w:t>
      </w:r>
    </w:p>
    <w:p>
      <w:pPr>
        <w:spacing w:line="360" w:lineRule="auto"/>
        <w:ind w:firstLine="482" w:firstLineChars="200"/>
        <w:jc w:val="center"/>
        <w:rPr>
          <w:rFonts w:ascii="宋体" w:hAnsi="宋体" w:eastAsia="宋体" w:cs="宋体"/>
          <w:b/>
          <w:sz w:val="24"/>
        </w:rPr>
      </w:pPr>
      <w:r>
        <w:rPr>
          <w:rFonts w:hint="eastAsia" w:ascii="宋体" w:hAnsi="宋体" w:eastAsia="宋体" w:cs="宋体"/>
          <w:b/>
          <w:sz w:val="24"/>
        </w:rPr>
        <w:t>表1中药材生产与加工专业就业方向</w:t>
      </w:r>
    </w:p>
    <w:tbl>
      <w:tblPr>
        <w:tblStyle w:val="8"/>
        <w:tblW w:w="90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7"/>
        <w:gridCol w:w="2575"/>
        <w:gridCol w:w="3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2697"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就业岗位</w:t>
            </w:r>
          </w:p>
        </w:tc>
        <w:tc>
          <w:tcPr>
            <w:tcW w:w="2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主要工作任务</w:t>
            </w:r>
          </w:p>
        </w:tc>
        <w:tc>
          <w:tcPr>
            <w:tcW w:w="373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2697"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中药材生产岗位</w:t>
            </w:r>
          </w:p>
          <w:p>
            <w:pPr>
              <w:jc w:val="center"/>
            </w:pPr>
            <w:r>
              <w:rPr>
                <w:rFonts w:hint="eastAsia"/>
              </w:rPr>
              <w:t>中药制药岗位</w:t>
            </w:r>
          </w:p>
          <w:p>
            <w:pPr>
              <w:jc w:val="center"/>
            </w:pPr>
            <w:r>
              <w:rPr>
                <w:rFonts w:hint="eastAsia"/>
              </w:rPr>
              <w:t>中药质检岗位</w:t>
            </w:r>
          </w:p>
        </w:tc>
        <w:tc>
          <w:tcPr>
            <w:tcW w:w="2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中药生产与加工</w:t>
            </w:r>
          </w:p>
          <w:p>
            <w:pPr>
              <w:jc w:val="center"/>
            </w:pPr>
            <w:r>
              <w:rPr>
                <w:rFonts w:hint="eastAsia"/>
              </w:rPr>
              <w:t>中药制药</w:t>
            </w:r>
          </w:p>
          <w:p>
            <w:pPr>
              <w:jc w:val="center"/>
            </w:pPr>
            <w:r>
              <w:rPr>
                <w:rFonts w:hint="eastAsia"/>
              </w:rPr>
              <w:t>中药质量检验和控制</w:t>
            </w:r>
          </w:p>
        </w:tc>
        <w:tc>
          <w:tcPr>
            <w:tcW w:w="373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中药炮制工</w:t>
            </w:r>
          </w:p>
          <w:p>
            <w:pPr>
              <w:jc w:val="center"/>
            </w:pPr>
            <w:r>
              <w:rPr>
                <w:rFonts w:hint="eastAsia"/>
              </w:rPr>
              <w:t>药物制剂工</w:t>
            </w:r>
          </w:p>
          <w:p>
            <w:pPr>
              <w:jc w:val="center"/>
            </w:pPr>
            <w:r>
              <w:rPr>
                <w:rFonts w:hint="eastAsia"/>
              </w:rPr>
              <w:t>执业中药师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jc w:val="center"/>
        </w:trPr>
        <w:tc>
          <w:tcPr>
            <w:tcW w:w="2697"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中药购销岗位</w:t>
            </w:r>
          </w:p>
          <w:p>
            <w:pPr>
              <w:jc w:val="center"/>
            </w:pPr>
            <w:r>
              <w:rPr>
                <w:rFonts w:hint="eastAsia"/>
              </w:rPr>
              <w:t>中药调剂岗位</w:t>
            </w:r>
          </w:p>
          <w:p>
            <w:pPr>
              <w:jc w:val="center"/>
            </w:pPr>
            <w:r>
              <w:rPr>
                <w:rFonts w:hint="eastAsia"/>
              </w:rPr>
              <w:t>中药咨询与服务岗位</w:t>
            </w:r>
          </w:p>
        </w:tc>
        <w:tc>
          <w:tcPr>
            <w:tcW w:w="2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中药采购与经营</w:t>
            </w:r>
          </w:p>
          <w:p>
            <w:pPr>
              <w:jc w:val="center"/>
            </w:pPr>
            <w:r>
              <w:rPr>
                <w:rFonts w:hint="eastAsia"/>
              </w:rPr>
              <w:t>中药调剂</w:t>
            </w:r>
          </w:p>
          <w:p>
            <w:pPr>
              <w:jc w:val="center"/>
            </w:pPr>
            <w:r>
              <w:rPr>
                <w:rFonts w:hint="eastAsia"/>
              </w:rPr>
              <w:t>药品仓库管理</w:t>
            </w:r>
          </w:p>
          <w:p>
            <w:pPr>
              <w:jc w:val="center"/>
            </w:pPr>
            <w:r>
              <w:rPr>
                <w:rFonts w:hint="eastAsia"/>
              </w:rPr>
              <w:t>中药咨询与服务</w:t>
            </w:r>
          </w:p>
        </w:tc>
        <w:tc>
          <w:tcPr>
            <w:tcW w:w="373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执业中药师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2697"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门店零售岗位</w:t>
            </w:r>
          </w:p>
          <w:p>
            <w:pPr>
              <w:jc w:val="center"/>
            </w:pPr>
            <w:r>
              <w:rPr>
                <w:rFonts w:hint="eastAsia"/>
              </w:rPr>
              <w:t>门店管理岗位</w:t>
            </w:r>
          </w:p>
          <w:p>
            <w:pPr>
              <w:jc w:val="center"/>
            </w:pPr>
            <w:r>
              <w:rPr>
                <w:rFonts w:hint="eastAsia"/>
              </w:rPr>
              <w:t>中药采购岗位</w:t>
            </w:r>
          </w:p>
          <w:p>
            <w:pPr>
              <w:jc w:val="center"/>
            </w:pPr>
            <w:r>
              <w:rPr>
                <w:rFonts w:hint="eastAsia"/>
              </w:rPr>
              <w:t>仓库储存与养护岗位</w:t>
            </w:r>
          </w:p>
        </w:tc>
        <w:tc>
          <w:tcPr>
            <w:tcW w:w="2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中药品采购、</w:t>
            </w:r>
          </w:p>
          <w:p>
            <w:pPr>
              <w:jc w:val="center"/>
            </w:pPr>
            <w:r>
              <w:rPr>
                <w:rFonts w:hint="eastAsia"/>
              </w:rPr>
              <w:t>中药营销</w:t>
            </w:r>
          </w:p>
          <w:p>
            <w:pPr>
              <w:jc w:val="center"/>
            </w:pPr>
            <w:r>
              <w:rPr>
                <w:rFonts w:hint="eastAsia"/>
              </w:rPr>
              <w:t>中药储存与养护</w:t>
            </w:r>
          </w:p>
        </w:tc>
        <w:tc>
          <w:tcPr>
            <w:tcW w:w="373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执业中药师</w:t>
            </w:r>
          </w:p>
        </w:tc>
      </w:tr>
    </w:tbl>
    <w:p>
      <w:pPr>
        <w:snapToGrid w:val="0"/>
        <w:spacing w:line="360" w:lineRule="auto"/>
        <w:ind w:firstLine="482" w:firstLineChars="200"/>
        <w:rPr>
          <w:rFonts w:ascii="宋体" w:hAnsi="宋体" w:eastAsia="宋体" w:cs="宋体"/>
          <w:b/>
          <w:sz w:val="24"/>
        </w:rPr>
      </w:pPr>
    </w:p>
    <w:p>
      <w:pPr>
        <w:snapToGrid w:val="0"/>
        <w:spacing w:line="360" w:lineRule="auto"/>
        <w:rPr>
          <w:rFonts w:ascii="宋体" w:hAnsi="宋体" w:eastAsia="宋体" w:cs="宋体"/>
          <w:b/>
          <w:sz w:val="24"/>
        </w:rPr>
      </w:pPr>
      <w:r>
        <w:rPr>
          <w:rFonts w:hint="eastAsia" w:ascii="宋体" w:hAnsi="宋体" w:eastAsia="宋体" w:cs="宋体"/>
          <w:b/>
          <w:sz w:val="24"/>
        </w:rPr>
        <w:t>五、培养目标与培养规格</w:t>
      </w:r>
    </w:p>
    <w:p>
      <w:pPr>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（一）培养目标</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培养理想信念坚定，德、智、体、美、劳全面发展，具有一定的科学文化水平，良好的人文素养、职业道德和创新意识，精益求精的工匠精神，较强的就业能力和可持续发展的能力，掌握本专业知识和技术技能，面向医药制造行业的中药材种植员、中药炮制工等职业群，能够从事中药材种植、采收、产地加工、炮制等工作的高素质技术技能人才。</w:t>
      </w:r>
    </w:p>
    <w:p>
      <w:pPr>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（二）培养规格</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1.素质</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（1）坚定拥护中国共产党领导和我国社会主义制度，在习近平新时代中国特色社会主义思想指引下，践行社会主义核心价值观，具有深厚的爱国情感和中华民族自豪感。</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（2）崇尚宪法、遵法守纪、崇德向善、诚实守信、尊重生命、热爱劳动，履行道德准则和行为规范，具有社会责任感和社会参与意识。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（3）具有质量意识、环保意识、安全意识、信息素养、工匠精神、创新思维。</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（4）具有自我管理能力、职业生涯规划的意识，有较强的集体意识和团队合作精神,勇于奋斗、乐观向上。</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（5）具有健康的体魄、心理和健全的人格，掌握基本运动知识和1 ~2项运动技能，养成良好的健身与卫生习惯，以及良好的行为习惯。</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（6）具有一定的审美和人文素养。</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2.知识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（1）掌握必备的思想政治理论、科学文化基础知识和中华优秀传统文化知识。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（2）熟悉与本专业相关的法律法规以及环境保护、安全消防、文明生产等知识。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（3）掌握药用植物识别、种植、病虫害识别与防治基础知识。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（4）掌握中药鉴定、中药材采收与产地加工、《中药材生产质量管理规范》基础知识。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（5）掌握中医基础理论、中药学及中药化学成分提取分离的基础知识。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（6）掌握中药炮制及中药饮片基础知识。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（7）掌握中药验收、储存与养护基础知识。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（8）掌握中药质量检测和质量控制基础知识。</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3.能力</w:t>
      </w:r>
    </w:p>
    <w:p>
      <w:pPr>
        <w:pStyle w:val="11"/>
        <w:spacing w:line="360" w:lineRule="auto"/>
        <w:ind w:firstLine="480" w:firstLineChars="200"/>
        <w:rPr>
          <w:rFonts w:ascii="宋体" w:hAnsi="宋体" w:eastAsia="宋体" w:cs="宋体"/>
          <w:sz w:val="24"/>
        </w:rPr>
      </w:pPr>
      <w:r>
        <w:rPr>
          <w:rFonts w:hint="eastAsia" w:ascii="宋体" w:hAnsi="宋体" w:eastAsia="宋体" w:cs="宋体"/>
          <w:bCs/>
          <w:sz w:val="24"/>
        </w:rPr>
        <w:t>（1）具</w:t>
      </w:r>
      <w:r>
        <w:rPr>
          <w:rFonts w:hint="eastAsia" w:ascii="宋体" w:hAnsi="宋体" w:eastAsia="宋体" w:cs="宋体"/>
          <w:sz w:val="24"/>
        </w:rPr>
        <w:t>有探究学习、终身学习、分析问题和解决问题的能力。</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（2）具有良好的语言、文字表达能力和沟通能力。</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（3）能识别常见药用植物，能进行中药材种子种苗繁育、物候期观察、播种、移栽、田间管理、病虫害防治。</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（4）能鉴定中药真伪优劣，能进行中药材采收与加工。</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（5）具有对中药进行化学成分提取、分离、检识的能力，能进行中药提取物生产。</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（6）具有中药饮片加工能力，能进行中药净制、切制、炒制、煅制、蒸煮等操作。</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（7）具有中药储存与养护能力，能根据中药材、中药饮片的特点进行日常养护。</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（8）具有中药质量检测能力，能对中药材、中药饮片进行质量检验。</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（9）会正确使用和维护常用仪器设备。</w:t>
      </w:r>
    </w:p>
    <w:p>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（10）具有一定的信息技术应用和维护能力。</w:t>
      </w:r>
    </w:p>
    <w:p>
      <w:pPr>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六、课程设置及要求</w:t>
      </w:r>
    </w:p>
    <w:p>
      <w:pPr>
        <w:adjustRightInd w:val="0"/>
        <w:snapToGrid w:val="0"/>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 xml:space="preserve">本专业课程体系分公共基础课程、专业基础课程、专业核心课程、选修课程（任选课、限选课）四大类。  </w:t>
      </w:r>
    </w:p>
    <w:p>
      <w:pPr>
        <w:spacing w:line="360" w:lineRule="auto"/>
        <w:ind w:firstLine="482" w:firstLineChars="200"/>
        <w:jc w:val="center"/>
        <w:rPr>
          <w:rFonts w:ascii="宋体" w:hAnsi="宋体" w:eastAsia="宋体" w:cs="宋体"/>
          <w:b/>
          <w:sz w:val="24"/>
        </w:rPr>
      </w:pPr>
      <w:r>
        <w:rPr>
          <w:rFonts w:hint="eastAsia" w:ascii="宋体" w:hAnsi="宋体" w:eastAsia="宋体" w:cs="宋体"/>
          <w:b/>
          <w:sz w:val="24"/>
        </w:rPr>
        <w:t>表2中药材生产与加工专业课程设置</w:t>
      </w:r>
    </w:p>
    <w:tbl>
      <w:tblPr>
        <w:tblStyle w:val="8"/>
        <w:tblW w:w="8326" w:type="dxa"/>
        <w:jc w:val="center"/>
        <w:tblLayout w:type="fixed"/>
        <w:tblCellMar>
          <w:top w:w="0" w:type="dxa"/>
          <w:left w:w="108" w:type="dxa"/>
          <w:bottom w:w="0" w:type="dxa"/>
          <w:right w:w="108" w:type="dxa"/>
        </w:tblCellMar>
      </w:tblPr>
      <w:tblGrid>
        <w:gridCol w:w="1780"/>
        <w:gridCol w:w="5078"/>
        <w:gridCol w:w="1468"/>
      </w:tblGrid>
      <w:tr>
        <w:tblPrEx>
          <w:tblCellMar>
            <w:top w:w="0" w:type="dxa"/>
            <w:left w:w="108" w:type="dxa"/>
            <w:bottom w:w="0" w:type="dxa"/>
            <w:right w:w="108" w:type="dxa"/>
          </w:tblCellMar>
        </w:tblPrEx>
        <w:trPr>
          <w:trHeight w:val="363" w:hRule="atLeast"/>
          <w:jc w:val="center"/>
        </w:trPr>
        <w:tc>
          <w:tcPr>
            <w:tcW w:w="1780" w:type="dxa"/>
            <w:tcBorders>
              <w:top w:val="single" w:color="auto" w:sz="8" w:space="0"/>
              <w:left w:val="single" w:color="auto" w:sz="8" w:space="0"/>
              <w:bottom w:val="single" w:color="auto" w:sz="8" w:space="0"/>
              <w:right w:val="single" w:color="auto" w:sz="8" w:space="0"/>
            </w:tcBorders>
            <w:noWrap/>
            <w:vAlign w:val="center"/>
          </w:tcPr>
          <w:p>
            <w:pPr>
              <w:jc w:val="center"/>
            </w:pPr>
            <w:r>
              <w:rPr>
                <w:rFonts w:hint="eastAsia"/>
              </w:rPr>
              <w:t>课程类型</w:t>
            </w:r>
          </w:p>
        </w:tc>
        <w:tc>
          <w:tcPr>
            <w:tcW w:w="5078" w:type="dxa"/>
            <w:tcBorders>
              <w:top w:val="single" w:color="auto" w:sz="8" w:space="0"/>
              <w:left w:val="nil"/>
              <w:bottom w:val="single" w:color="auto" w:sz="8" w:space="0"/>
              <w:right w:val="single" w:color="auto" w:sz="8" w:space="0"/>
            </w:tcBorders>
            <w:noWrap/>
            <w:vAlign w:val="center"/>
          </w:tcPr>
          <w:p>
            <w:pPr>
              <w:jc w:val="center"/>
            </w:pPr>
            <w:r>
              <w:rPr>
                <w:rFonts w:hint="eastAsia"/>
              </w:rPr>
              <w:t>课程名称</w:t>
            </w:r>
          </w:p>
        </w:tc>
        <w:tc>
          <w:tcPr>
            <w:tcW w:w="1468" w:type="dxa"/>
            <w:tcBorders>
              <w:top w:val="single" w:color="auto" w:sz="8" w:space="0"/>
              <w:left w:val="nil"/>
              <w:bottom w:val="single" w:color="auto" w:sz="8" w:space="0"/>
              <w:right w:val="single" w:color="auto" w:sz="8" w:space="0"/>
            </w:tcBorders>
            <w:noWrap/>
            <w:vAlign w:val="center"/>
          </w:tcPr>
          <w:p>
            <w:pPr>
              <w:jc w:val="center"/>
            </w:pPr>
            <w:r>
              <w:rPr>
                <w:rFonts w:hint="eastAsia"/>
              </w:rPr>
              <w:t>课程性质</w:t>
            </w:r>
          </w:p>
        </w:tc>
      </w:tr>
      <w:tr>
        <w:tblPrEx>
          <w:tblCellMar>
            <w:top w:w="0" w:type="dxa"/>
            <w:left w:w="108" w:type="dxa"/>
            <w:bottom w:w="0" w:type="dxa"/>
            <w:right w:w="108" w:type="dxa"/>
          </w:tblCellMar>
        </w:tblPrEx>
        <w:trPr>
          <w:trHeight w:val="363" w:hRule="atLeast"/>
          <w:jc w:val="center"/>
        </w:trPr>
        <w:tc>
          <w:tcPr>
            <w:tcW w:w="1780" w:type="dxa"/>
            <w:vMerge w:val="restart"/>
            <w:tcBorders>
              <w:top w:val="nil"/>
              <w:left w:val="single" w:color="auto" w:sz="8" w:space="0"/>
              <w:right w:val="single" w:color="auto" w:sz="8" w:space="0"/>
            </w:tcBorders>
            <w:noWrap/>
            <w:vAlign w:val="center"/>
          </w:tcPr>
          <w:p>
            <w:pPr>
              <w:jc w:val="center"/>
            </w:pPr>
            <w:r>
              <w:rPr>
                <w:rFonts w:hint="eastAsia"/>
              </w:rPr>
              <w:t>公共基础课程</w:t>
            </w:r>
          </w:p>
        </w:tc>
        <w:tc>
          <w:tcPr>
            <w:tcW w:w="5078" w:type="dxa"/>
            <w:tcBorders>
              <w:top w:val="nil"/>
              <w:left w:val="nil"/>
              <w:bottom w:val="single" w:color="auto" w:sz="8" w:space="0"/>
              <w:right w:val="single" w:color="auto" w:sz="8" w:space="0"/>
            </w:tcBorders>
            <w:noWrap/>
            <w:vAlign w:val="center"/>
          </w:tcPr>
          <w:p>
            <w:pPr>
              <w:jc w:val="center"/>
            </w:pPr>
            <w:r>
              <w:rPr>
                <w:rFonts w:hint="eastAsia"/>
              </w:rPr>
              <w:t>军事理论与军事技能</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rPr>
                <w:rFonts w:hint="eastAsia" w:eastAsiaTheme="minorEastAsia"/>
                <w:lang w:eastAsia="zh-CN"/>
              </w:rPr>
            </w:pPr>
            <w:r>
              <w:rPr>
                <w:rFonts w:hint="eastAsia"/>
                <w:lang w:eastAsia="zh-CN"/>
              </w:rPr>
              <w:t>思想道德与法治</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马克思主义中国化进程与青年学生使命担当</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毛泽东思想和中国特色社会主义理论体系概论</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形势与政策</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体育</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大学生心理健康教育</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大学生职业发展与就业指导</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创新创业教育</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信息技术</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劳动教育</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英语</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国家安全教育</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restart"/>
            <w:tcBorders>
              <w:top w:val="single" w:color="auto" w:sz="4" w:space="0"/>
              <w:left w:val="single" w:color="auto" w:sz="4" w:space="0"/>
              <w:bottom w:val="single" w:color="auto" w:sz="4" w:space="0"/>
              <w:right w:val="single" w:color="auto" w:sz="4" w:space="0"/>
            </w:tcBorders>
            <w:noWrap/>
            <w:vAlign w:val="center"/>
          </w:tcPr>
          <w:p>
            <w:pPr>
              <w:jc w:val="center"/>
            </w:pPr>
            <w:r>
              <w:rPr>
                <w:rFonts w:hint="eastAsia"/>
              </w:rPr>
              <w:t>专业基础课程</w:t>
            </w: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中医基础理论</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人体解剖与生理</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实用中药学</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药用植物学</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药用植物病虫害防治技术</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基础化学</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中药化学实用技术</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中药质量检测技术</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药事管理与法规</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restart"/>
            <w:tcBorders>
              <w:top w:val="single" w:color="auto" w:sz="4" w:space="0"/>
              <w:left w:val="single" w:color="auto" w:sz="4" w:space="0"/>
              <w:right w:val="single" w:color="auto" w:sz="4" w:space="0"/>
            </w:tcBorders>
            <w:noWrap/>
            <w:vAlign w:val="center"/>
          </w:tcPr>
          <w:p>
            <w:pPr>
              <w:jc w:val="center"/>
            </w:pPr>
            <w:r>
              <w:rPr>
                <w:rFonts w:hint="eastAsia"/>
              </w:rPr>
              <w:t>专业核心课程</w:t>
            </w: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药用植物栽培技术</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中药材产地加工技术</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4" w:space="0"/>
              <w:right w:val="single" w:color="auto" w:sz="8" w:space="0"/>
            </w:tcBorders>
            <w:noWrap/>
            <w:vAlign w:val="center"/>
          </w:tcPr>
          <w:p>
            <w:pPr>
              <w:jc w:val="center"/>
            </w:pPr>
            <w:r>
              <w:rPr>
                <w:rFonts w:hint="eastAsia"/>
              </w:rPr>
              <w:t>中药提取物生产技术</w:t>
            </w:r>
          </w:p>
        </w:tc>
        <w:tc>
          <w:tcPr>
            <w:tcW w:w="1468" w:type="dxa"/>
            <w:tcBorders>
              <w:top w:val="nil"/>
              <w:left w:val="nil"/>
              <w:bottom w:val="single" w:color="auto" w:sz="4"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中药鉴定技术</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中药炮制技术</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中药储存与养护</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专业技能综合实训</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必修课</w:t>
            </w:r>
          </w:p>
        </w:tc>
      </w:tr>
      <w:tr>
        <w:tblPrEx>
          <w:tblCellMar>
            <w:top w:w="0" w:type="dxa"/>
            <w:left w:w="108" w:type="dxa"/>
            <w:bottom w:w="0" w:type="dxa"/>
            <w:right w:w="108" w:type="dxa"/>
          </w:tblCellMar>
        </w:tblPrEx>
        <w:trPr>
          <w:trHeight w:val="363" w:hRule="atLeast"/>
          <w:jc w:val="center"/>
        </w:trPr>
        <w:tc>
          <w:tcPr>
            <w:tcW w:w="1780" w:type="dxa"/>
            <w:vMerge w:val="restart"/>
            <w:tcBorders>
              <w:top w:val="single" w:color="auto" w:sz="4" w:space="0"/>
              <w:left w:val="single" w:color="auto" w:sz="4" w:space="0"/>
              <w:right w:val="single" w:color="auto" w:sz="4" w:space="0"/>
            </w:tcBorders>
            <w:noWrap/>
            <w:vAlign w:val="center"/>
          </w:tcPr>
          <w:p>
            <w:pPr>
              <w:jc w:val="center"/>
            </w:pPr>
            <w:r>
              <w:rPr>
                <w:rFonts w:hint="eastAsia"/>
              </w:rPr>
              <w:t>选修课程</w:t>
            </w: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中医药与中华传统文化</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选修课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艺术鉴赏</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选修课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双创训练营</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选修课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应用写作</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选修课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经典诵读</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选修课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中国茶文化与茶健康</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选修课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中药制剂技术</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选修课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实用药物学基础</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专业选修课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药用植物组织培养</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专业选修课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中药药理</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专业选修课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医药市场营销</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专业选修课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医药数理统计</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专业选修课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药学英语</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专业选修课</w:t>
            </w:r>
          </w:p>
        </w:tc>
      </w:tr>
      <w:tr>
        <w:tblPrEx>
          <w:tblCellMar>
            <w:top w:w="0" w:type="dxa"/>
            <w:left w:w="108" w:type="dxa"/>
            <w:bottom w:w="0" w:type="dxa"/>
            <w:right w:w="108" w:type="dxa"/>
          </w:tblCellMar>
        </w:tblPrEx>
        <w:trPr>
          <w:trHeight w:val="363" w:hRule="atLeast"/>
          <w:jc w:val="center"/>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药品生产质量管理</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专业选修课</w:t>
            </w:r>
          </w:p>
        </w:tc>
      </w:tr>
    </w:tbl>
    <w:p>
      <w:pPr>
        <w:spacing w:line="360" w:lineRule="auto"/>
        <w:ind w:firstLine="482" w:firstLineChars="200"/>
        <w:rPr>
          <w:rFonts w:ascii="宋体" w:hAnsi="宋体" w:eastAsia="宋体" w:cs="宋体"/>
          <w:b/>
          <w:bCs/>
          <w:sz w:val="24"/>
        </w:rPr>
      </w:pPr>
    </w:p>
    <w:p>
      <w:pPr>
        <w:spacing w:line="360" w:lineRule="auto"/>
        <w:ind w:firstLine="482" w:firstLineChars="200"/>
        <w:rPr>
          <w:rFonts w:ascii="宋体" w:hAnsi="宋体" w:eastAsia="宋体" w:cs="宋体"/>
          <w:b/>
          <w:bCs/>
          <w:sz w:val="24"/>
        </w:rPr>
      </w:pPr>
      <w:r>
        <w:rPr>
          <w:rFonts w:hint="eastAsia" w:ascii="宋体" w:hAnsi="宋体" w:eastAsia="宋体" w:cs="宋体"/>
          <w:b/>
          <w:bCs/>
          <w:sz w:val="24"/>
        </w:rPr>
        <w:t>（一）公共课模块（学时652，学分33）</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1．军事课之军事技能（148学时，4.0学分）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教学要求：通过军事课教学和军事技能训练，使大学生掌握基本军事理论和军事技能，达到增强国防观念和国家安全意识，强化爱国主义、集体主义观念，加强组织纪律性，促进大学生综合素质的提高，为中国人民解放军训练后备兵员和培养预备役军官打下坚实基础的目的。</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2．</w:t>
      </w:r>
      <w:r>
        <w:rPr>
          <w:rFonts w:hint="eastAsia" w:ascii="宋体" w:hAnsi="宋体" w:eastAsia="宋体" w:cs="宋体"/>
          <w:b w:val="0"/>
          <w:bCs/>
          <w:sz w:val="24"/>
          <w:lang w:eastAsia="zh-CN"/>
        </w:rPr>
        <w:t>思想道德与法治</w:t>
      </w:r>
      <w:r>
        <w:rPr>
          <w:rFonts w:hint="eastAsia" w:ascii="宋体" w:hAnsi="宋体" w:eastAsia="宋体" w:cs="宋体"/>
          <w:b w:val="0"/>
          <w:bCs/>
          <w:sz w:val="24"/>
        </w:rPr>
        <w:t>（48学时，3.0学分）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本课程是高校思想政治理论课的必修课程，本课程以马克思主义为指导，以习近平新时代中国特色社会主义思想为价值取向，以正确的世界观、人生观、价值观和道德观、法制观教育为主要内容，把社会主义核心价值观贯穿教学的全过程，通过理论学习和实践体验，帮助学生形成崇高的理想信念，弘扬伟大的爱国精神，确立正确的人生观和价值观，加强思想品德修养，增强学法、用法的自觉性，全面提高大学生的思想道德素质、行为修养和法律素养。</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3．马克思主义中国化进程与青年学生使命担当（</w:t>
      </w:r>
      <w:r>
        <w:rPr>
          <w:rFonts w:hint="eastAsia" w:ascii="宋体" w:hAnsi="宋体" w:eastAsia="宋体" w:cs="宋体"/>
          <w:b w:val="0"/>
          <w:bCs/>
          <w:sz w:val="24"/>
          <w:lang w:eastAsia="zh-CN"/>
        </w:rPr>
        <w:t>24学时</w:t>
      </w:r>
      <w:r>
        <w:rPr>
          <w:rFonts w:hint="eastAsia" w:ascii="宋体" w:hAnsi="宋体" w:eastAsia="宋体" w:cs="宋体"/>
          <w:b w:val="0"/>
          <w:bCs/>
          <w:sz w:val="24"/>
        </w:rPr>
        <w:t>，2.0学分）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本课程为广东省高校学生必修课程。旨在通过学习，引导当代青年学生自觉做到“两个维护”，增强“四个自信”，坚持“五位一体”总体布局，自觉融入坚持和发展中国特色社会主义事业中。增强使命担当，自觉报效祖国，同人民一道，为实现“两个一百年”奋斗目标，实现中华民族伟大复兴的中国梦而奋斗。</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4．毛泽东思想和中国特色社会主义理论体系概论（64学时，4.0学分）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本课程是高校思想政治理论课程中的核心课程，是普通高等院校学生的必修课。这门课的基本内容是全面论述毛泽东思想、邓小平理论和“三个代表”重要思想、科学发展观和习近平新时代中国特色社会主义思想的科学涵义、形成发展过程、科学体系、历史地位、指导意义、基本观点及中国特色社会主义建设的路线方针政策等。使大学生通过学习，掌握马克思主义中国化的历程和理论成果，了解党的路线、方针和政策，确立中国特色社会主义的共同理想和信念，能自觉运用马克思主义的立场、观点和方法，提高分析解决现实问题的能力。</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5．形势与政策（32学时，1.0学分）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形势与政策》是面向普通高校大学生开设的思想政治理论课程。本课程以马克思列宁主义、毛泽东思想、邓小平理论、“三个代表”、科学发展观和习近平新时代中国特色社会主义重要思想为指导，以当前国内外重大的热点问题为契机，对大学生进行形势与政策教育，帮助学生认清国际国内形势，了解党和国家重大方针政策。本课程着重对大学生进行改革开放和社会主义现代化建设形势、任务和发展成就教党和国家重大方针政策、重大活动和重大改革措施的教育。</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6．体育（108学时，6.0学分）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体育与健康》是各个专业学生的必修公共课程。其任务是通过合理的体育教学和科学的体育锻炼过程，努力增强学生体质与健康，给学生以体育文化和健康知识，指导他们实践锻炼，养成终身体育的意识，培养学生中华传统美德。同时进行《学生体质健康标准》测试，以保证《学生体质健康标准》的落实。</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本课程主要内容包括田径、球类、形体健美操、中华传统养生功法（八段锦、太极拳、五禽戏等）及学生体质健康测试项目等。</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7．大学生心理健康教育（32学时，2.0学分）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《大学生心理健康 》是各专业的公共课程，其任务是以大学生心理素质的培养为主线，以提高大学生的心理素质为目的，以学生存在的主要心理问题为内容组织依据，力求通过通俗易懂的讲述，以促进学生的心理健康发展。重点是对心理健康知识的理解与运用上，目的在于提高大学生的自我调节和自我成长能力，并有助于他们社会能力、方法能力的形成。</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本课程的主要内容包括协调人际关系，增强适应社会生活的能力；认识与识别心理导常现象；大学生普通存在的、较为集中的心理问题等内容。</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8．大学生职业发展与就业指导（32学时，2.0学分）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大学生职业发展与就业指导》是各专业学生的必修公共课程,其任务是通过本课程的学习帮助学生建立职业发展意识，树立科学就业观；使学生掌握职业生涯规划的基本理论和方法；提升学生就业能力和综合素质；引领学生主动思考、探索，正确认识自我，提升内在素养和品质，从而有效安排大学生活，合理规划未来发展。</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本课程内容包括自我认知、认识社会、人职匹配、就业指导、创业教育等。</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9．创新与创业教育（34学时，2.0学分）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创新与创业教育》包括创新创业的关系、技术创新与创业、创业环境分析与创业者素质的要求、创办企业的知识、新创企业的管理、创业政策与法规、创业生涯的规划等方面的内容，旨在通过普及创新创业知识，提高大学生的创新创业意识，帮助有创业愿望的学生实现理想。</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10．信息技术（64学时，4.0学分）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信息技术》是各专业学生的必修公共课程。其任务是通过该课程的学习，使学生掌握计算机操作的基本技能，具有文字和数据处理能力、信息获取、整理、加工能力，网上交互能力，以适应现代医疗单位对医护人员信息素养和计算机应用技术的要求，并为今后的进一步学习打下基础。</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本课程主要教学内容包括计算机的基础知识、常用操作系统的使用、文字处理软件的使用（Word、Excel、PowerPoint）、计算机网络的基本操作和使用等。</w:t>
      </w:r>
    </w:p>
    <w:p>
      <w:pPr>
        <w:spacing w:line="360" w:lineRule="auto"/>
        <w:ind w:left="420" w:leftChars="200" w:firstLine="480" w:firstLineChars="200"/>
        <w:rPr>
          <w:rFonts w:ascii="宋体" w:hAnsi="宋体" w:eastAsia="宋体" w:cs="宋体"/>
          <w:bCs/>
          <w:sz w:val="24"/>
        </w:rPr>
      </w:pPr>
      <w:r>
        <w:rPr>
          <w:rFonts w:hint="eastAsia" w:ascii="宋体" w:hAnsi="宋体" w:eastAsia="宋体" w:cs="宋体"/>
          <w:bCs/>
          <w:sz w:val="24"/>
        </w:rPr>
        <w:t>11.《劳动教育》（16学时 1.0学分）</w:t>
      </w:r>
      <w:r>
        <w:rPr>
          <w:rFonts w:hint="eastAsia" w:ascii="宋体" w:hAnsi="宋体" w:eastAsia="宋体" w:cs="宋体"/>
          <w:bCs/>
          <w:sz w:val="24"/>
        </w:rPr>
        <w:br w:type="textWrapping"/>
      </w:r>
      <w:r>
        <w:rPr>
          <w:rFonts w:hint="eastAsia" w:ascii="宋体" w:hAnsi="宋体" w:eastAsia="宋体" w:cs="宋体"/>
          <w:bCs/>
          <w:sz w:val="24"/>
        </w:rPr>
        <w:t>教学要求：本课程主要包括生产劳动、服务性劳动和日常生活劳动三个方面的知识、技能与价值观。让学生在工农业生产过程中直接经历物质财富的创造过程，学会使用工具，掌握相关技术，感受和体会平凡劳动中的伟大。让学生利用知识、技能等为他人和社会提供服务，在见习实习岗位上，提升服务意识，增强能力；在公益劳动、志愿服务中强化社会责任感。日常生活劳动教育立足个人生活事务处理，强化自立自强意识。</w:t>
      </w:r>
    </w:p>
    <w:p>
      <w:pPr>
        <w:spacing w:line="360" w:lineRule="auto"/>
        <w:ind w:left="420" w:leftChars="200" w:firstLine="480" w:firstLineChars="200"/>
        <w:rPr>
          <w:rFonts w:ascii="宋体" w:hAnsi="宋体" w:eastAsia="宋体" w:cs="宋体"/>
          <w:bCs/>
          <w:sz w:val="24"/>
        </w:rPr>
      </w:pPr>
      <w:r>
        <w:rPr>
          <w:rFonts w:hint="eastAsia" w:ascii="宋体" w:hAnsi="宋体" w:eastAsia="宋体" w:cs="宋体"/>
          <w:bCs/>
          <w:sz w:val="24"/>
        </w:rPr>
        <w:t>12.英语（52学时，3.0学分）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本课程以培养学生实际应用英语的能力为目标，侧重职场环境下语言交际能力的培养，使学生逐步提高用英语进行交流与沟通的能力。同时让学生能达到“全国高等学校英语能力考试A级或B级”的水平。使学生掌握有效的学习方法和策略，培养学生的学习兴趣和自主学习能力，提高学生的综合文化素养和跨文化交际意识，为提升学生的就业竞争力及未来的可持续发展打下必要的基础。</w:t>
      </w:r>
    </w:p>
    <w:p>
      <w:pPr>
        <w:spacing w:line="360" w:lineRule="auto"/>
        <w:ind w:left="420" w:leftChars="200" w:firstLine="480" w:firstLineChars="200"/>
        <w:rPr>
          <w:rFonts w:ascii="宋体" w:hAnsi="宋体" w:eastAsia="宋体" w:cs="宋体"/>
          <w:bCs/>
          <w:sz w:val="24"/>
        </w:rPr>
      </w:pPr>
      <w:r>
        <w:rPr>
          <w:rFonts w:hint="eastAsia" w:ascii="宋体" w:hAnsi="宋体" w:eastAsia="宋体" w:cs="宋体"/>
          <w:bCs/>
          <w:sz w:val="24"/>
        </w:rPr>
        <w:t>13.国家安全教育（16学时，1.0学分）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本课程重点围绕理解中华民族命运与国家关系，通过国家安全的重要性，我国新时代国家安全的形势与特点，总体国家安全观的基本内涵、重点领域和重大意义，以及相关法律法规的学习。让学生系统掌握总体国家安全观的内涵和精神实质，理解中国特色国家安全体系，树立国家安全底线思维，将国家安全意识转化为自觉行动，强化责任担当。</w:t>
      </w:r>
    </w:p>
    <w:p>
      <w:pPr>
        <w:spacing w:line="360" w:lineRule="auto"/>
        <w:ind w:firstLine="482" w:firstLineChars="200"/>
        <w:rPr>
          <w:rFonts w:ascii="宋体" w:hAnsi="宋体" w:eastAsia="宋体" w:cs="宋体"/>
          <w:bCs/>
          <w:sz w:val="24"/>
        </w:rPr>
      </w:pPr>
      <w:r>
        <w:rPr>
          <w:rFonts w:hint="eastAsia" w:ascii="宋体" w:hAnsi="宋体" w:eastAsia="宋体" w:cs="宋体"/>
          <w:b/>
          <w:sz w:val="24"/>
        </w:rPr>
        <w:t>（二）专业基础课模块（学时460，学分28.5）</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1.中医基础理论 （48学时，3.0学分）</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教学要求：其任务是通过本课程的学习，获得中医学基本的整体观念与辨证论知识、中医的基本思维方法；阴阳、五行学说；中医基本理论及基本知识的藏象、精气血津液、体质、病因、发病、病机；对疾病的防治原则。使学生为继续学习中药学、方剂学各科打下基础。</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2．人体解剖与生理（48学时，3.0学分）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教学要求：通过教学使学生获得正常人体形态结构和功能的基本知识和基本理论，掌握人体主要器官的位置、形态、结构以及形态结构与功能的相互关系。</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3</w:t>
      </w:r>
      <w:bookmarkStart w:id="0" w:name="_Toc525381582"/>
      <w:r>
        <w:rPr>
          <w:rFonts w:hint="eastAsia" w:ascii="宋体" w:hAnsi="宋体" w:eastAsia="宋体" w:cs="宋体"/>
          <w:b w:val="0"/>
          <w:bCs/>
          <w:sz w:val="24"/>
        </w:rPr>
        <w:t>.</w:t>
      </w:r>
      <w:bookmarkEnd w:id="0"/>
      <w:r>
        <w:rPr>
          <w:rFonts w:hint="eastAsia" w:ascii="宋体" w:hAnsi="宋体" w:eastAsia="宋体" w:cs="宋体"/>
          <w:b w:val="0"/>
          <w:bCs/>
          <w:sz w:val="24"/>
        </w:rPr>
        <w:t>实用中药学（48学时，3.0学分 ）</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教学要求：其任务是通过本课程的学习，学生掌握400种常用中药的功效分类及其性味、归经、功效、主治、用法用量、使用注意等基本知识。</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4.药用植物学（108学时，6.5学分）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其任务是通过本课程的学习，学生药用植物形态、解剖特征、生长发育基本规律、植物进化、药用植物与环境之间的关系以及药用植物分类，常见药用植物种类的原植物来源、形态学特征、产地、药用部位及功效等，能利用检索表对常见植物进行检索，能制作药用植物标本。</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5．药用植物病虫害防治技术（16学时，1.0学分）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《药用植物病虫害防治技术》是中药生产与加工的一门专业核心课程，通过学习了解药用植物病虫的种类、识别，掌握常见病虫的防治方法，对字生自主解决药用植物种植中病虫的昉治具有实际的指导意义。</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通过本课程的字习，使字生掌握主要药用植物病虫的识别，字会药用植物病虫防治的方法，能运用植保技能，为药用植物生产打下良好的基础。</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6．基础化学（64学时，4.0学分）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药用化学基础》主要学习无机化学、化学分析和有机化学的基本理论和基本实验技能，掌握化学基础知识、化学分析基本方法、有机化学基础知识及基础化学实验技能，能够运用药用化学基础原理及方法对常见化学药品进行定性、定量分析，能够熟悉有机化学在药物设计、合成和构效中的作用，能了解化学分析方法在药物的检验、分析和使用中的作用，培养学生独立思考的学习能力和熟练的操作技能，为后续药学专业核心课程的学习奠定基础。</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7．中药化学实用技术（64学时，4.0学分）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中药化学实用技术》是中药生产与加工专业针对中药提取工岗位能力进行培养的一门专业核心课程，通过中药有效成分的提取、分离的工作过程，使学生掌握中药中的主要类型成分的结构特征、理化性质、提取分离、纯化精制以及结构鉴定的基本理论和技能，并熟悉中药有效成分的提取、分离仪器设备的使用，熟练掌握中药有效成分的提取、分离工艺流程，使学生具备中药提取工的专业能力，同时注重培养学生的社会能力和方法能力。</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8．中药质量检测技术（48学时，3.0学分）</w:t>
      </w:r>
    </w:p>
    <w:p>
      <w:pPr>
        <w:pStyle w:val="11"/>
        <w:spacing w:line="360" w:lineRule="auto"/>
        <w:ind w:firstLine="480" w:firstLineChars="200"/>
        <w:rPr>
          <w:rFonts w:ascii="宋体" w:hAnsi="宋体" w:eastAsia="宋体" w:cs="宋体"/>
          <w:sz w:val="24"/>
        </w:rPr>
      </w:pPr>
      <w:r>
        <w:rPr>
          <w:rFonts w:hint="eastAsia" w:ascii="宋体" w:hAnsi="宋体" w:eastAsia="宋体" w:cs="宋体"/>
          <w:bCs/>
          <w:sz w:val="24"/>
        </w:rPr>
        <w:t>《中药质量检测技术》是中药生产与加工专业的一门专业核心课。通过本门课程学习，培养学生应用已学过的基础理论解决中药质量控制中的实际问题，要求了解当今中药质量管理体系及其发展方向；了解中药质量分析与控制的相关知识；掌握中药检验的基本原理、方法、流程。以便在生产与质量管理工作中开拓思路，触类旁通，灵活运用，具备从事中药质</w:t>
      </w:r>
      <w:r>
        <w:rPr>
          <w:rFonts w:hint="eastAsia" w:ascii="宋体" w:hAnsi="宋体" w:eastAsia="宋体" w:cs="宋体"/>
          <w:sz w:val="24"/>
        </w:rPr>
        <w:t>量分析与安全控制技术的职业能力。</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9．药事管理与法规（16学时，1.0学分）</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药事管理与法规》是中药生产与加工专业学生的必修专业核心课程，其任务是通过本课程的学习，学生掌握药品管理法及实施条例的内容、药事管理体制与组织机构、药品注册管理、药品使用管理、特殊管理药品和管理办法，了解中药管理的有关规定以及医药知识产权保护、医疗器械管理的相关知识。</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本课程主要内容包括药学实践管理活动的基本内容、方法和原理，我国和外国药事体制及组织机构，药品质量与管理的关系规律，我国药品管理法规和药师职业道德与行为准则等。</w:t>
      </w:r>
    </w:p>
    <w:p>
      <w:pPr>
        <w:spacing w:line="360" w:lineRule="auto"/>
        <w:ind w:firstLine="241" w:firstLineChars="100"/>
        <w:rPr>
          <w:rFonts w:ascii="宋体" w:hAnsi="宋体" w:eastAsia="宋体" w:cs="宋体"/>
          <w:sz w:val="24"/>
        </w:rPr>
      </w:pPr>
      <w:r>
        <w:rPr>
          <w:rFonts w:hint="eastAsia" w:ascii="宋体" w:hAnsi="宋体" w:eastAsia="宋体" w:cs="宋体"/>
          <w:b/>
          <w:bCs/>
          <w:sz w:val="24"/>
        </w:rPr>
        <w:t>（三）专业核心课模块（</w:t>
      </w:r>
      <w:r>
        <w:rPr>
          <w:rFonts w:hint="eastAsia" w:ascii="宋体" w:hAnsi="宋体" w:eastAsia="宋体" w:cs="宋体"/>
          <w:b/>
          <w:sz w:val="24"/>
        </w:rPr>
        <w:t>学时294，学分18.5</w:t>
      </w:r>
      <w:r>
        <w:rPr>
          <w:rFonts w:hint="eastAsia" w:ascii="宋体" w:hAnsi="宋体" w:eastAsia="宋体" w:cs="宋体"/>
          <w:b/>
          <w:bCs/>
          <w:sz w:val="24"/>
        </w:rPr>
        <w:t>）</w:t>
      </w:r>
    </w:p>
    <w:p>
      <w:pPr>
        <w:pStyle w:val="4"/>
        <w:spacing w:line="360" w:lineRule="auto"/>
        <w:ind w:firstLine="480" w:firstLineChars="200"/>
        <w:rPr>
          <w:rFonts w:ascii="宋体" w:hAnsi="宋体" w:eastAsia="宋体" w:cs="宋体"/>
          <w:b w:val="0"/>
          <w:bCs/>
          <w:sz w:val="24"/>
        </w:rPr>
      </w:pPr>
      <w:bookmarkStart w:id="1" w:name="_Toc525381598"/>
      <w:r>
        <w:rPr>
          <w:rFonts w:hint="eastAsia" w:ascii="宋体" w:hAnsi="宋体" w:eastAsia="宋体" w:cs="宋体"/>
          <w:b w:val="0"/>
          <w:bCs/>
          <w:sz w:val="24"/>
        </w:rPr>
        <w:t>1．药用植物栽培技术（80学时，5.0学分）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药用植物栽培技术》以中药材种植为载体，以中药材生产质量管理规范(GAP)中药材生产标准操作规程(SOP)为准则，遵照药用植物生长周期，构建种植布局→土壤耕作→种苗处理及繁殖技术→田间管理控制→病虫害防控→采收加工的药用植物栽培实际工作流程教学内容，达到学生在开展药用植物种植时够用、能用、会用的目的。依托校内外实训基地，以中药材种植任务为主导，药用植物生长周期为教学历，边学边做、不误农时的教学模式适应现代化药用植物种植。</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2．中药材产地加工技术（16学时，1.0学分）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药材产地加工技术》是中药材生产与加工的专业核心课程，与《中药学》《药用植物学》《植物生理生态学》《中药鉴定技术》《中药化学》等相关课程有着十分密切的关系。本课程教学的主要目的和任务是使学生掌握《中药材加工学》的基本理论、知识和基本技能，培养学生从事中草药的科学栽培、实施GAP和实现中药材规范化生产和管理的能力。</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3．中药提取物生产技术（16学时，1.0学分）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中药提取物生产技术》是中药材生产与加工专业针对中药提取工岗位能力进行培养的一门专业核心课程，主要介绍了中药化学成分的结构、性质和有效成分的提取、分离、鉴定等基本理论和实践技能知识：介绍了实验室中对生物碱类、苷类、蒽醌类、黄酮类、香豆素、皂苷类、强心苷类、萜类和挥发油等成分制备方法及其典型物质的制备工艺，介绍了工业上中药提取分离所涉及的浸取、分离纯化、浓缩、干燥等操作的基本工艺、主要生产设备、操作要点、主要问题分析及其处理方法等。</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4．中药鉴定技术（88学时，5.5学分）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中药鉴定技术》是中药材生产与加工的专业课程，它是研究中药的来源、品种、质量、质量变化规律及中药资源可持续发展的一门应用技术课程。本课程是在继承中医药学遗产和传统中药鉴别及使用经验的基础上，运用现代生物学及化学的理论和技术方法，解决中药的真实性、有效性、安全性、质量和质量变化规律，中药新资源寻找发现以及中药材规范化生产等可持续发展的理论和实践问题。具体任务包括考证和整理中药品种、鉴定中药的真伪优劣，评价和控制中药质量以及寻找和扩大新药源。</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5．中药炮制技术（48学时，3.0学分）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中药炮制技术》是中药材生产与加工的一门专业核心课，是在学习中医学基础、中药学、方剂学、药用植物学、分析化学、中药化学、中药鉴定技术等课程后进行本课程教学。通过本课程的教学，要求学生掌握中药炮制的基本理论、基本知识和基本技能，熟悉中药炮制的起源、现状炮制在临床的作用，炮制品的性状、特征；了解中药炮制机械的性能、工作原理及历代医药书籍中有关炮制论述和中药炮制现代化研究等，具有从事中药炮制的教学、科研及开发应用的能力，为培养继承和发扬我国中医药事业的创新、应用型人才奠定良好基础。</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6．中药储存与养护（16学时，1.0学分）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中药储存与养护》是运用现代科学技术与方法来研究中药保管技术和影响中药储藏质量及其养护的一门新兴的综合性技术学科。要求掌握影响中药变质的因素、中药变异现象的常见类型及其养护方法；中药的包装和中药入库前后的检査；中药仓库的分类、功能特点与现代仓贮设备;中药养护常用方法和现代养护新技术，常见中、西药的储存养护等内容。</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7.专业技能综合实训（30学时，2.0学分）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药用植物识别技术：在学习《药用植物学》理论知识的基础上，通过野外认采实训，使学生能尽快识别常用的药用植物品种约200种。</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中药学综合技能实训：通过中药栽培与生产与加工技能、中药鉴别技能、中药调剂技能、中药显微鉴别技能、中药炮制技能、中药检测技能及综合应用中药相关知识能力的综合强化训练，使学生复习巩固所学的专业技能，尽快进入跟岗实习阶段的学习状态。</w:t>
      </w:r>
    </w:p>
    <w:bookmarkEnd w:id="1"/>
    <w:p>
      <w:pPr>
        <w:spacing w:line="360" w:lineRule="auto"/>
        <w:ind w:firstLine="482" w:firstLineChars="200"/>
        <w:rPr>
          <w:rFonts w:ascii="宋体" w:hAnsi="宋体" w:eastAsia="宋体" w:cs="宋体"/>
          <w:sz w:val="24"/>
        </w:rPr>
      </w:pPr>
      <w:r>
        <w:rPr>
          <w:rFonts w:hint="eastAsia" w:ascii="宋体" w:hAnsi="宋体" w:eastAsia="宋体" w:cs="宋体"/>
          <w:b/>
          <w:bCs/>
          <w:sz w:val="24"/>
        </w:rPr>
        <w:t>（四）选修课模块（</w:t>
      </w:r>
      <w:r>
        <w:rPr>
          <w:rFonts w:hint="eastAsia" w:ascii="宋体" w:hAnsi="宋体" w:eastAsia="宋体" w:cs="宋体"/>
          <w:b/>
          <w:sz w:val="24"/>
        </w:rPr>
        <w:t>学时304，学分18.0</w:t>
      </w:r>
      <w:r>
        <w:rPr>
          <w:rFonts w:hint="eastAsia" w:ascii="宋体" w:hAnsi="宋体" w:eastAsia="宋体" w:cs="宋体"/>
          <w:b/>
          <w:bCs/>
          <w:sz w:val="24"/>
        </w:rPr>
        <w:t>）</w:t>
      </w:r>
    </w:p>
    <w:p>
      <w:pPr>
        <w:spacing w:line="360" w:lineRule="auto"/>
        <w:ind w:firstLine="480" w:firstLineChars="200"/>
        <w:rPr>
          <w:rFonts w:ascii="宋体" w:hAnsi="宋体" w:eastAsia="宋体" w:cs="宋体"/>
          <w:sz w:val="24"/>
        </w:rPr>
      </w:pPr>
      <w:r>
        <w:rPr>
          <w:rFonts w:hint="eastAsia" w:ascii="宋体" w:hAnsi="宋体" w:eastAsia="宋体" w:cs="宋体"/>
          <w:sz w:val="24"/>
        </w:rPr>
        <w:t>1.《中医药与中华传统文化》（16学时，1.0学分）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通过本课程的学习使学生对中医药有比较清醒、客观的认识，既为我们先辈创造这一人类宝贵财富而自豪，又能醒认识到在科学技术不断进步、经济飞速发展、文化多元化发展的今天，这一传统学科如何面对现实，继续发挥其独特优势，为中华民族伟大复兴和世界人民健康发挥更大作用。既提供了从中医药学了解中华传统文化的视角，又让学习者从中华传统文化大背景下思考中医药学的历史和未来。它将有利于学生从正反两方面认识我国传统文化和科技成果，有利于学生独立思考问题能力和批判地继承能力的培养。</w:t>
      </w:r>
    </w:p>
    <w:p>
      <w:pPr>
        <w:spacing w:line="360" w:lineRule="auto"/>
        <w:ind w:firstLine="480" w:firstLineChars="200"/>
        <w:rPr>
          <w:rFonts w:ascii="宋体" w:hAnsi="宋体" w:eastAsia="宋体" w:cs="宋体"/>
          <w:sz w:val="24"/>
        </w:rPr>
      </w:pPr>
      <w:r>
        <w:rPr>
          <w:rFonts w:hint="eastAsia" w:ascii="宋体" w:hAnsi="宋体" w:eastAsia="宋体" w:cs="宋体"/>
          <w:kern w:val="0"/>
          <w:sz w:val="24"/>
        </w:rPr>
        <w:t>2.艺术鉴赏</w:t>
      </w:r>
      <w:r>
        <w:rPr>
          <w:rFonts w:hint="eastAsia" w:ascii="宋体" w:hAnsi="宋体" w:eastAsia="宋体" w:cs="宋体"/>
          <w:sz w:val="24"/>
        </w:rPr>
        <w:t>（16学时，1.0学分）</w:t>
      </w:r>
    </w:p>
    <w:p>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kern w:val="0"/>
          <w:sz w:val="24"/>
        </w:rPr>
        <w:t>通过</w:t>
      </w:r>
      <w:r>
        <w:rPr>
          <w:rFonts w:hint="eastAsia" w:ascii="宋体" w:hAnsi="宋体" w:eastAsia="宋体" w:cs="宋体"/>
          <w:sz w:val="24"/>
        </w:rPr>
        <w:t>对课程的学习，使学生对艺术的赏能力不仅仅停留在艺术作品的表象，而是要从审美心理出发去感受作品内涵，进而达到欣赏者和艺术家、个人审美经验与和普遍经验的交融，从而提升学生的艺术修养。</w:t>
      </w:r>
    </w:p>
    <w:p>
      <w:pPr>
        <w:adjustRightInd w:val="0"/>
        <w:snapToGrid w:val="0"/>
        <w:spacing w:line="360" w:lineRule="auto"/>
        <w:ind w:firstLine="480" w:firstLineChars="200"/>
        <w:rPr>
          <w:rFonts w:ascii="宋体" w:hAnsi="宋体" w:eastAsia="宋体" w:cs="宋体"/>
          <w:kern w:val="0"/>
          <w:sz w:val="24"/>
        </w:rPr>
      </w:pPr>
      <w:r>
        <w:rPr>
          <w:rFonts w:hint="eastAsia" w:ascii="宋体" w:hAnsi="宋体" w:eastAsia="宋体" w:cs="宋体"/>
          <w:sz w:val="24"/>
        </w:rPr>
        <w:t>3.</w:t>
      </w:r>
      <w:r>
        <w:rPr>
          <w:rFonts w:hint="eastAsia" w:ascii="宋体" w:hAnsi="宋体" w:eastAsia="宋体" w:cs="宋体"/>
          <w:kern w:val="0"/>
          <w:sz w:val="24"/>
        </w:rPr>
        <w:t>双创训练营（32学时，</w:t>
      </w:r>
      <w:r>
        <w:rPr>
          <w:rFonts w:hint="eastAsia" w:ascii="宋体" w:hAnsi="宋体" w:eastAsia="宋体" w:cs="宋体"/>
          <w:sz w:val="24"/>
        </w:rPr>
        <w:t>2.0</w:t>
      </w:r>
      <w:r>
        <w:rPr>
          <w:rFonts w:hint="eastAsia" w:ascii="宋体" w:hAnsi="宋体" w:eastAsia="宋体" w:cs="宋体"/>
          <w:kern w:val="0"/>
          <w:sz w:val="24"/>
        </w:rPr>
        <w:t>学分）</w:t>
      </w:r>
    </w:p>
    <w:p>
      <w:pPr>
        <w:adjustRightInd w:val="0"/>
        <w:snapToGrid w:val="0"/>
        <w:spacing w:line="360" w:lineRule="auto"/>
        <w:ind w:firstLine="480" w:firstLineChars="200"/>
        <w:rPr>
          <w:rFonts w:ascii="宋体" w:hAnsi="宋体" w:eastAsia="宋体" w:cs="宋体"/>
          <w:kern w:val="0"/>
          <w:sz w:val="24"/>
        </w:rPr>
      </w:pPr>
      <w:r>
        <w:rPr>
          <w:rFonts w:hint="eastAsia" w:ascii="宋体" w:hAnsi="宋体" w:eastAsia="宋体" w:cs="宋体"/>
          <w:sz w:val="24"/>
        </w:rPr>
        <w:t>教学要求：将创新创业课程与创新创业实践活动相结合，开发大学生潜能，务实服务大学生创新创业，激发大学生的“双创”意识、培养大学生的“双创”能力、拓展大学生“双创”视野，在实训过程中能实践双创项目准备过程，课程结束后能在老师的指导下完成双创项目的构建</w:t>
      </w:r>
    </w:p>
    <w:p>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4.应用写作</w:t>
      </w:r>
      <w:r>
        <w:rPr>
          <w:rFonts w:hint="eastAsia" w:ascii="宋体" w:hAnsi="宋体" w:eastAsia="宋体" w:cs="宋体"/>
          <w:sz w:val="24"/>
        </w:rPr>
        <w:t>（16学时，1.0学分）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通过本课程的学习，使学生掌握</w:t>
      </w:r>
      <w:r>
        <w:fldChar w:fldCharType="begin"/>
      </w:r>
      <w:r>
        <w:instrText xml:space="preserve"> HYPERLINK "http://baike.baidu.com/view/1955183.htm" \t "http://baike.baidu.com/_blank" </w:instrText>
      </w:r>
      <w:r>
        <w:fldChar w:fldCharType="separate"/>
      </w:r>
      <w:r>
        <w:rPr>
          <w:rFonts w:hint="eastAsia" w:ascii="宋体" w:hAnsi="宋体" w:eastAsia="宋体" w:cs="宋体"/>
          <w:sz w:val="24"/>
        </w:rPr>
        <w:t>实用写作</w:t>
      </w:r>
      <w:r>
        <w:rPr>
          <w:rFonts w:hint="eastAsia" w:ascii="宋体" w:hAnsi="宋体" w:eastAsia="宋体" w:cs="宋体"/>
          <w:sz w:val="24"/>
        </w:rPr>
        <w:fldChar w:fldCharType="end"/>
      </w:r>
      <w:r>
        <w:rPr>
          <w:rFonts w:hint="eastAsia" w:ascii="宋体" w:hAnsi="宋体" w:eastAsia="宋体" w:cs="宋体"/>
          <w:sz w:val="24"/>
        </w:rPr>
        <w:t>的基本原则，掌握实用写作的基本特点、规律及不同写作文体的写格式要求及写作技巧。</w:t>
      </w:r>
    </w:p>
    <w:p>
      <w:pPr>
        <w:adjustRightInd w:val="0"/>
        <w:snapToGrid w:val="0"/>
        <w:spacing w:line="360" w:lineRule="auto"/>
        <w:ind w:firstLine="480" w:firstLineChars="200"/>
        <w:rPr>
          <w:rFonts w:ascii="宋体" w:hAnsi="宋体" w:eastAsia="宋体" w:cs="宋体"/>
          <w:kern w:val="0"/>
          <w:sz w:val="24"/>
        </w:rPr>
      </w:pPr>
      <w:r>
        <w:rPr>
          <w:rFonts w:hint="eastAsia" w:ascii="宋体" w:hAnsi="宋体" w:eastAsia="宋体" w:cs="宋体"/>
          <w:sz w:val="24"/>
        </w:rPr>
        <w:t>本课程主要内容包括实用写作的特点与规律、写作主体的文学修养与能力、各种常用写作文体的写作要求及写作技巧等。</w:t>
      </w:r>
    </w:p>
    <w:p>
      <w:pPr>
        <w:spacing w:line="360" w:lineRule="auto"/>
        <w:ind w:firstLine="480" w:firstLineChars="200"/>
        <w:rPr>
          <w:rFonts w:ascii="宋体" w:hAnsi="宋体" w:eastAsia="宋体" w:cs="宋体"/>
          <w:sz w:val="24"/>
        </w:rPr>
      </w:pPr>
      <w:r>
        <w:rPr>
          <w:rFonts w:hint="eastAsia" w:ascii="宋体" w:hAnsi="宋体" w:eastAsia="宋体" w:cs="宋体"/>
          <w:kern w:val="0"/>
          <w:sz w:val="24"/>
        </w:rPr>
        <w:t>5.经典诵读</w:t>
      </w:r>
      <w:r>
        <w:rPr>
          <w:rFonts w:hint="eastAsia" w:ascii="宋体" w:hAnsi="宋体" w:eastAsia="宋体" w:cs="宋体"/>
          <w:sz w:val="24"/>
        </w:rPr>
        <w:t>（16学时，1.0学分）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本课程的主要内容有中国历史、文学概要、文化传统及部分精选作品等。通过本课程的学习，使学生对所选作品的熟读和思考，通过教师的讲授指导，掌握较完整、全面的社会、政治、经济的发展知识，使学生学会能懂能解会赏会评等能力，达到对学生的思想启迪、道德熏陶。</w:t>
      </w:r>
    </w:p>
    <w:p>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kern w:val="0"/>
          <w:sz w:val="24"/>
        </w:rPr>
        <w:t>6.中国茶文化与茶健康</w:t>
      </w:r>
      <w:r>
        <w:rPr>
          <w:rFonts w:hint="eastAsia" w:ascii="宋体" w:hAnsi="宋体" w:eastAsia="宋体" w:cs="宋体"/>
          <w:sz w:val="24"/>
        </w:rPr>
        <w:t xml:space="preserve">（16学时，1.0学分）  </w:t>
      </w:r>
    </w:p>
    <w:p>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以传统中华茶文化和现代茶科学研究为本体，诠释了中华茶的发展、传播的历史和其中体现出来的人文精神。本课程说古论今、通俗易懂，融知识性、趣味性、科学性为一体，使受众在轻松、愉快的氛围中获得知识，提高修养。</w:t>
      </w:r>
    </w:p>
    <w:p>
      <w:pPr>
        <w:spacing w:line="360" w:lineRule="auto"/>
        <w:ind w:firstLine="480" w:firstLineChars="200"/>
        <w:rPr>
          <w:rFonts w:ascii="宋体" w:hAnsi="宋体" w:eastAsia="宋体" w:cs="宋体"/>
          <w:sz w:val="24"/>
        </w:rPr>
      </w:pPr>
      <w:r>
        <w:rPr>
          <w:rFonts w:hint="eastAsia" w:ascii="宋体" w:hAnsi="宋体" w:eastAsia="宋体" w:cs="宋体"/>
          <w:sz w:val="24"/>
        </w:rPr>
        <w:t>7.中药制剂技术（64学时，4.0学分）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 xml:space="preserve">教学要求：通过本门课程的课堂讲授、实验教学和教学实习，使学生能够掌握中药常用剂型的概念、特点、制备工艺和质量控制等的基础理论、知识和技能，掌握现代药剂学的有关理论与技术；熟悉药剂常用辅料，专用设备的基本构造、性能及使用保养方法等内容；了解国内外药剂学研究新进展。 </w:t>
      </w:r>
    </w:p>
    <w:p>
      <w:pPr>
        <w:spacing w:line="360" w:lineRule="auto"/>
        <w:ind w:firstLine="480" w:firstLineChars="200"/>
        <w:rPr>
          <w:rFonts w:ascii="宋体" w:hAnsi="宋体" w:eastAsia="宋体" w:cs="宋体"/>
          <w:kern w:val="0"/>
          <w:sz w:val="24"/>
        </w:rPr>
      </w:pPr>
      <w:r>
        <w:rPr>
          <w:rFonts w:hint="eastAsia" w:ascii="宋体" w:hAnsi="宋体" w:eastAsia="宋体" w:cs="宋体"/>
          <w:sz w:val="24"/>
        </w:rPr>
        <w:t>8.实用药物学基础</w:t>
      </w:r>
      <w:r>
        <w:rPr>
          <w:rFonts w:hint="eastAsia" w:ascii="宋体" w:hAnsi="宋体" w:eastAsia="宋体" w:cs="宋体"/>
          <w:kern w:val="0"/>
          <w:sz w:val="24"/>
        </w:rPr>
        <w:t>（32学时，2.0学分）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 xml:space="preserve">本课程以药物结构为主线，以药理作用为基础，着重讲述各类药物与稳定性及检验有关的化学知识，强化药物的主要用途、常见疾病的用药原则、不良反应及药物相互作用等实用性内容，时为学生今后更好地从事药品生产、药品经营及药学服务等岗位工作提供药学知识及技能.上的支持，树立安全、合理用药的观念。 </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9.药用植物组织培养（16学时，1.0学分）</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通过本课程了解植物组织培养相关技术的基本原理、过程及操作方法，主要以实验操作为主，以提高学生的实际动手能力为目的。通过实验操作使学生掌握植物组织培养方法，能够独立进行植物脱病毒苗和良种苗木的快速繁殖以及良种的提纯复壮，也为植物转基因技术储备良好的实验技能，为相关的科研部门和农业部门服务。</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10.中药药理（16学时，1.0学分）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kern w:val="0"/>
          <w:sz w:val="24"/>
        </w:rPr>
        <w:t>教学要求：</w:t>
      </w:r>
      <w:r>
        <w:rPr>
          <w:rFonts w:hint="eastAsia" w:ascii="宋体" w:hAnsi="宋体" w:eastAsia="宋体" w:cs="宋体"/>
          <w:bCs/>
          <w:sz w:val="24"/>
        </w:rPr>
        <w:t>通过教学和实践，学生掌握中药药性的现代科学内涵及代表药功效主治的药理学基础、影响中药作用的因素，熟悉中药配伍、中药药效学、中药药动学、中药毒理学的研究方法。了解药理实验的一般方法、技能及其他与工作岗位相适应的知识和技能。</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11.医药市场营销（16学时，1.0学分）</w:t>
      </w:r>
    </w:p>
    <w:p>
      <w:pPr>
        <w:spacing w:line="360" w:lineRule="auto"/>
        <w:ind w:firstLine="480" w:firstLineChars="200"/>
        <w:rPr>
          <w:rFonts w:ascii="宋体" w:hAnsi="宋体" w:eastAsia="宋体" w:cs="宋体"/>
          <w:bCs/>
          <w:kern w:val="0"/>
          <w:sz w:val="24"/>
        </w:rPr>
      </w:pPr>
      <w:r>
        <w:rPr>
          <w:rFonts w:hint="eastAsia" w:ascii="宋体" w:hAnsi="宋体" w:eastAsia="宋体" w:cs="宋体"/>
          <w:bCs/>
          <w:kern w:val="0"/>
          <w:sz w:val="24"/>
        </w:rPr>
        <w:t>教学要求：通过本课程的学习，学生获得药品市场的理论、营销环境及市场细分的原理、药品市场调查与预测、药品市场营销的组织与实施控制以及物流管理等方面的知识，熟悉先进有效的营销理论，具备从事药品营销工作所必需的营销学基本知识和基本技能。</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12.医药数理统计（16学时，1.0学分）</w:t>
      </w:r>
    </w:p>
    <w:p>
      <w:pPr>
        <w:spacing w:line="360" w:lineRule="auto"/>
        <w:ind w:firstLine="480" w:firstLineChars="200"/>
        <w:rPr>
          <w:rFonts w:ascii="宋体" w:hAnsi="宋体" w:eastAsia="宋体" w:cs="宋体"/>
          <w:bCs/>
          <w:sz w:val="24"/>
        </w:rPr>
      </w:pPr>
      <w:r>
        <w:rPr>
          <w:rFonts w:hint="eastAsia" w:ascii="宋体" w:hAnsi="宋体" w:eastAsia="宋体" w:cs="宋体"/>
          <w:bCs/>
          <w:kern w:val="0"/>
          <w:sz w:val="24"/>
        </w:rPr>
        <w:t>教学要求</w:t>
      </w:r>
      <w:r>
        <w:rPr>
          <w:rFonts w:hint="eastAsia" w:ascii="宋体" w:hAnsi="宋体" w:eastAsia="宋体" w:cs="宋体"/>
          <w:bCs/>
          <w:sz w:val="24"/>
        </w:rPr>
        <w:t>：学习一元函数微积分基础、随机变量的概率分布与数字特征、数据的整理与统计描述、抽样分布、参数估计、假设检验、方差分析、相关分析与回归分析、Excel在统计分析中的应用。使学生了解数理统计的基本概念；熟悉基本性质和基本运算；掌握数理统计在医药卫生工作中的应用；能熟练使用Excel进行统计数据的处理。</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13.药学英语（16学时，1.0学分）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以公共英语为基础，旨在通过学习使学生掌握药学专业基本词汇和基本的表达方法，从而具备基本的阅读、查阅英文相关专业文献，以及用英文进行基本的专业表达的能力，为进一步的学习和工作奠定基础。</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14.药品生产质量管理（16学时，1.0学分）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本课程以药品生产全过程为主线，以岗位群细分为基础，以影响药品生产质量的厂房设施与设备系统、物料系统、生产系统、质量系统、卫生系统以及实验室控制系统等关键因素为主要内容;熟悉GMP验证的具体要求，以及对生产中影响药品质量的各种因素进行具体控制等相关内容。通过本课程的学习，培养学生的药品质量意识，对学生就如何实施药品生产质量管理进行训练，为今后从事药品生产及管理工作打下基础。</w:t>
      </w:r>
    </w:p>
    <w:p>
      <w:pPr>
        <w:spacing w:line="360" w:lineRule="auto"/>
        <w:rPr>
          <w:rFonts w:ascii="宋体" w:hAnsi="宋体" w:eastAsia="宋体" w:cs="宋体"/>
          <w:b/>
          <w:bCs/>
          <w:sz w:val="24"/>
        </w:rPr>
      </w:pPr>
      <w:r>
        <w:rPr>
          <w:rFonts w:hint="eastAsia" w:ascii="宋体" w:hAnsi="宋体" w:eastAsia="宋体" w:cs="宋体"/>
          <w:b/>
          <w:bCs/>
          <w:sz w:val="24"/>
        </w:rPr>
        <w:t>七、教学进程总体安排</w:t>
      </w:r>
    </w:p>
    <w:p>
      <w:p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（一）教学活动时间分配表</w:t>
      </w:r>
    </w:p>
    <w:p>
      <w:pPr>
        <w:adjustRightInd w:val="0"/>
        <w:snapToGrid w:val="0"/>
        <w:spacing w:line="360" w:lineRule="auto"/>
        <w:ind w:firstLine="482" w:firstLineChars="200"/>
        <w:jc w:val="center"/>
        <w:rPr>
          <w:rFonts w:ascii="宋体" w:hAnsi="宋体" w:eastAsia="宋体" w:cs="宋体"/>
          <w:b/>
          <w:sz w:val="24"/>
        </w:rPr>
      </w:pPr>
      <w:r>
        <w:rPr>
          <w:rFonts w:hint="eastAsia" w:ascii="宋体" w:hAnsi="宋体" w:eastAsia="宋体" w:cs="宋体"/>
          <w:b/>
          <w:sz w:val="24"/>
        </w:rPr>
        <w:t>表3 学时分配表</w:t>
      </w:r>
    </w:p>
    <w:tbl>
      <w:tblPr>
        <w:tblStyle w:val="8"/>
        <w:tblW w:w="8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071"/>
        <w:gridCol w:w="1378"/>
        <w:gridCol w:w="1379"/>
        <w:gridCol w:w="1606"/>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750" w:type="dxa"/>
            <w:vMerge w:val="restart"/>
            <w:vAlign w:val="center"/>
          </w:tcPr>
          <w:p>
            <w:pPr>
              <w:jc w:val="center"/>
            </w:pPr>
            <w:r>
              <w:rPr>
                <w:rFonts w:hint="eastAsia"/>
              </w:rPr>
              <w:t>模块</w:t>
            </w:r>
          </w:p>
        </w:tc>
        <w:tc>
          <w:tcPr>
            <w:tcW w:w="1071" w:type="dxa"/>
            <w:vMerge w:val="restart"/>
            <w:vAlign w:val="center"/>
          </w:tcPr>
          <w:p>
            <w:pPr>
              <w:jc w:val="center"/>
            </w:pPr>
            <w:r>
              <w:rPr>
                <w:rFonts w:hint="eastAsia"/>
              </w:rPr>
              <w:t>性质</w:t>
            </w:r>
          </w:p>
        </w:tc>
        <w:tc>
          <w:tcPr>
            <w:tcW w:w="4363" w:type="dxa"/>
            <w:gridSpan w:val="3"/>
            <w:vAlign w:val="center"/>
          </w:tcPr>
          <w:p>
            <w:pPr>
              <w:jc w:val="center"/>
            </w:pPr>
            <w:r>
              <w:rPr>
                <w:rFonts w:hint="eastAsia"/>
              </w:rPr>
              <w:t>学时数</w:t>
            </w:r>
          </w:p>
        </w:tc>
        <w:tc>
          <w:tcPr>
            <w:tcW w:w="1588" w:type="dxa"/>
            <w:vMerge w:val="restart"/>
            <w:vAlign w:val="center"/>
          </w:tcPr>
          <w:p>
            <w:pPr>
              <w:jc w:val="center"/>
            </w:pPr>
            <w:r>
              <w:rPr>
                <w:rFonts w:hint="eastAsia"/>
              </w:rPr>
              <w:t>占总学时的百分比（%）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750" w:type="dxa"/>
            <w:vMerge w:val="continue"/>
            <w:vAlign w:val="center"/>
          </w:tcPr>
          <w:p>
            <w:pPr>
              <w:jc w:val="center"/>
            </w:pPr>
          </w:p>
        </w:tc>
        <w:tc>
          <w:tcPr>
            <w:tcW w:w="1071" w:type="dxa"/>
            <w:vMerge w:val="continue"/>
            <w:vAlign w:val="center"/>
          </w:tcPr>
          <w:p>
            <w:pPr>
              <w:jc w:val="center"/>
            </w:pPr>
          </w:p>
        </w:tc>
        <w:tc>
          <w:tcPr>
            <w:tcW w:w="1378" w:type="dxa"/>
            <w:vAlign w:val="center"/>
          </w:tcPr>
          <w:p>
            <w:pPr>
              <w:jc w:val="center"/>
            </w:pPr>
            <w:r>
              <w:rPr>
                <w:rFonts w:hint="eastAsia"/>
              </w:rPr>
              <w:t>理论</w:t>
            </w:r>
          </w:p>
        </w:tc>
        <w:tc>
          <w:tcPr>
            <w:tcW w:w="1379" w:type="dxa"/>
            <w:vAlign w:val="center"/>
          </w:tcPr>
          <w:p>
            <w:pPr>
              <w:jc w:val="center"/>
            </w:pPr>
            <w:r>
              <w:rPr>
                <w:rFonts w:hint="eastAsia"/>
              </w:rPr>
              <w:t>实践</w:t>
            </w:r>
          </w:p>
        </w:tc>
        <w:tc>
          <w:tcPr>
            <w:tcW w:w="1606" w:type="dxa"/>
            <w:vAlign w:val="center"/>
          </w:tcPr>
          <w:p>
            <w:pPr>
              <w:jc w:val="center"/>
            </w:pPr>
            <w:r>
              <w:rPr>
                <w:rFonts w:hint="eastAsia"/>
              </w:rPr>
              <w:t>理/实比例</w:t>
            </w:r>
          </w:p>
        </w:tc>
        <w:tc>
          <w:tcPr>
            <w:tcW w:w="158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50" w:type="dxa"/>
            <w:vAlign w:val="center"/>
          </w:tcPr>
          <w:p>
            <w:pPr>
              <w:jc w:val="center"/>
              <w:rPr>
                <w:rFonts w:ascii="宋体" w:hAnsi="宋体" w:eastAsia="宋体" w:cs="宋体"/>
                <w:szCs w:val="21"/>
              </w:rPr>
            </w:pPr>
            <w:r>
              <w:rPr>
                <w:rFonts w:hint="eastAsia" w:ascii="宋体" w:hAnsi="宋体" w:eastAsia="宋体" w:cs="宋体"/>
                <w:szCs w:val="21"/>
              </w:rPr>
              <w:t>公共课模块</w:t>
            </w:r>
          </w:p>
        </w:tc>
        <w:tc>
          <w:tcPr>
            <w:tcW w:w="1071" w:type="dxa"/>
            <w:vAlign w:val="center"/>
          </w:tcPr>
          <w:p>
            <w:pPr>
              <w:jc w:val="center"/>
              <w:rPr>
                <w:rFonts w:ascii="宋体" w:hAnsi="宋体" w:eastAsia="宋体" w:cs="宋体"/>
                <w:szCs w:val="21"/>
              </w:rPr>
            </w:pPr>
            <w:r>
              <w:rPr>
                <w:rFonts w:hint="eastAsia" w:ascii="宋体" w:hAnsi="宋体" w:eastAsia="宋体" w:cs="宋体"/>
                <w:szCs w:val="21"/>
              </w:rPr>
              <w:t>必修</w:t>
            </w:r>
          </w:p>
        </w:tc>
        <w:tc>
          <w:tcPr>
            <w:tcW w:w="1378" w:type="dxa"/>
            <w:vAlign w:val="center"/>
          </w:tcPr>
          <w:p>
            <w:pPr>
              <w:jc w:val="center"/>
              <w:rPr>
                <w:rFonts w:ascii="宋体" w:hAnsi="宋体" w:eastAsia="宋体" w:cs="宋体"/>
                <w:szCs w:val="21"/>
              </w:rPr>
            </w:pPr>
            <w:r>
              <w:rPr>
                <w:rFonts w:hint="eastAsia" w:ascii="宋体" w:hAnsi="宋体" w:eastAsia="宋体" w:cs="宋体"/>
                <w:szCs w:val="21"/>
              </w:rPr>
              <w:t>332</w:t>
            </w:r>
          </w:p>
        </w:tc>
        <w:tc>
          <w:tcPr>
            <w:tcW w:w="1379" w:type="dxa"/>
            <w:vAlign w:val="center"/>
          </w:tcPr>
          <w:p>
            <w:pPr>
              <w:jc w:val="center"/>
              <w:rPr>
                <w:rFonts w:ascii="宋体" w:hAnsi="宋体" w:eastAsia="宋体" w:cs="宋体"/>
                <w:szCs w:val="21"/>
              </w:rPr>
            </w:pPr>
            <w:r>
              <w:rPr>
                <w:rFonts w:hint="eastAsia" w:ascii="宋体" w:hAnsi="宋体" w:eastAsia="宋体" w:cs="宋体"/>
                <w:szCs w:val="21"/>
              </w:rPr>
              <w:t>320</w:t>
            </w:r>
          </w:p>
        </w:tc>
        <w:tc>
          <w:tcPr>
            <w:tcW w:w="1606" w:type="dxa"/>
            <w:vAlign w:val="center"/>
          </w:tcPr>
          <w:p>
            <w:pPr>
              <w:jc w:val="center"/>
              <w:rPr>
                <w:rFonts w:ascii="宋体" w:hAnsi="宋体" w:eastAsia="宋体" w:cs="宋体"/>
                <w:szCs w:val="21"/>
              </w:rPr>
            </w:pPr>
            <w:r>
              <w:rPr>
                <w:rFonts w:hint="eastAsia" w:ascii="宋体" w:hAnsi="宋体" w:eastAsia="宋体" w:cs="宋体"/>
                <w:szCs w:val="21"/>
              </w:rPr>
              <w:t>1.0375</w:t>
            </w:r>
          </w:p>
        </w:tc>
        <w:tc>
          <w:tcPr>
            <w:tcW w:w="1588" w:type="dxa"/>
            <w:noWrap/>
            <w:vAlign w:val="center"/>
          </w:tcPr>
          <w:p>
            <w:pPr>
              <w:jc w:val="center"/>
              <w:rPr>
                <w:rFonts w:ascii="宋体" w:hAnsi="宋体" w:eastAsia="宋体" w:cs="宋体"/>
                <w:szCs w:val="21"/>
              </w:rPr>
            </w:pPr>
            <w:r>
              <w:rPr>
                <w:rFonts w:hint="eastAsia" w:ascii="宋体" w:hAnsi="宋体" w:eastAsia="宋体" w:cs="宋体"/>
                <w:szCs w:val="21"/>
              </w:rPr>
              <w:t>23.70%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50" w:type="dxa"/>
            <w:vAlign w:val="center"/>
          </w:tcPr>
          <w:p>
            <w:pPr>
              <w:jc w:val="center"/>
              <w:rPr>
                <w:rFonts w:ascii="宋体" w:hAnsi="宋体" w:eastAsia="宋体" w:cs="宋体"/>
                <w:szCs w:val="21"/>
              </w:rPr>
            </w:pPr>
            <w:r>
              <w:rPr>
                <w:rFonts w:hint="eastAsia" w:ascii="宋体" w:hAnsi="宋体" w:eastAsia="宋体" w:cs="宋体"/>
                <w:szCs w:val="21"/>
              </w:rPr>
              <w:t>专业基础课模块</w:t>
            </w:r>
          </w:p>
        </w:tc>
        <w:tc>
          <w:tcPr>
            <w:tcW w:w="1071" w:type="dxa"/>
            <w:vAlign w:val="center"/>
          </w:tcPr>
          <w:p>
            <w:pPr>
              <w:jc w:val="center"/>
              <w:rPr>
                <w:rFonts w:ascii="宋体" w:hAnsi="宋体" w:eastAsia="宋体" w:cs="宋体"/>
                <w:szCs w:val="21"/>
              </w:rPr>
            </w:pPr>
            <w:r>
              <w:rPr>
                <w:rFonts w:hint="eastAsia" w:ascii="宋体" w:hAnsi="宋体" w:eastAsia="宋体" w:cs="宋体"/>
                <w:szCs w:val="21"/>
              </w:rPr>
              <w:t>必修</w:t>
            </w:r>
          </w:p>
        </w:tc>
        <w:tc>
          <w:tcPr>
            <w:tcW w:w="1378" w:type="dxa"/>
            <w:vAlign w:val="center"/>
          </w:tcPr>
          <w:p>
            <w:pPr>
              <w:jc w:val="center"/>
              <w:rPr>
                <w:rFonts w:ascii="宋体" w:hAnsi="宋体" w:eastAsia="宋体" w:cs="宋体"/>
                <w:szCs w:val="21"/>
              </w:rPr>
            </w:pPr>
            <w:r>
              <w:rPr>
                <w:rFonts w:hint="eastAsia" w:ascii="宋体" w:hAnsi="宋体" w:eastAsia="宋体" w:cs="宋体"/>
                <w:szCs w:val="21"/>
              </w:rPr>
              <w:t>316</w:t>
            </w:r>
          </w:p>
        </w:tc>
        <w:tc>
          <w:tcPr>
            <w:tcW w:w="1379" w:type="dxa"/>
            <w:vAlign w:val="center"/>
          </w:tcPr>
          <w:p>
            <w:pPr>
              <w:jc w:val="center"/>
              <w:rPr>
                <w:rFonts w:ascii="宋体" w:hAnsi="宋体" w:eastAsia="宋体" w:cs="宋体"/>
                <w:szCs w:val="21"/>
              </w:rPr>
            </w:pPr>
            <w:r>
              <w:rPr>
                <w:rFonts w:hint="eastAsia" w:ascii="宋体" w:hAnsi="宋体" w:eastAsia="宋体" w:cs="宋体"/>
                <w:szCs w:val="21"/>
              </w:rPr>
              <w:t>144</w:t>
            </w:r>
          </w:p>
        </w:tc>
        <w:tc>
          <w:tcPr>
            <w:tcW w:w="1606" w:type="dxa"/>
            <w:vAlign w:val="center"/>
          </w:tcPr>
          <w:p>
            <w:pPr>
              <w:jc w:val="center"/>
              <w:rPr>
                <w:rFonts w:ascii="宋体" w:hAnsi="宋体" w:eastAsia="宋体" w:cs="宋体"/>
                <w:szCs w:val="21"/>
              </w:rPr>
            </w:pPr>
            <w:r>
              <w:rPr>
                <w:rFonts w:hint="eastAsia" w:ascii="宋体" w:hAnsi="宋体" w:eastAsia="宋体" w:cs="宋体"/>
                <w:szCs w:val="21"/>
              </w:rPr>
              <w:t>2.19</w:t>
            </w:r>
          </w:p>
        </w:tc>
        <w:tc>
          <w:tcPr>
            <w:tcW w:w="1588" w:type="dxa"/>
            <w:noWrap/>
            <w:vAlign w:val="center"/>
          </w:tcPr>
          <w:p>
            <w:pPr>
              <w:jc w:val="center"/>
              <w:rPr>
                <w:rFonts w:ascii="宋体" w:hAnsi="宋体" w:eastAsia="宋体" w:cs="宋体"/>
                <w:szCs w:val="21"/>
              </w:rPr>
            </w:pPr>
            <w:r>
              <w:rPr>
                <w:rFonts w:hint="eastAsia" w:ascii="宋体" w:hAnsi="宋体" w:eastAsia="宋体" w:cs="宋体"/>
                <w:szCs w:val="21"/>
              </w:rPr>
              <w:t>16.72%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50" w:type="dxa"/>
            <w:vAlign w:val="center"/>
          </w:tcPr>
          <w:p>
            <w:pPr>
              <w:jc w:val="center"/>
              <w:rPr>
                <w:rFonts w:ascii="宋体" w:hAnsi="宋体" w:eastAsia="宋体" w:cs="宋体"/>
                <w:szCs w:val="21"/>
              </w:rPr>
            </w:pPr>
            <w:r>
              <w:rPr>
                <w:rFonts w:hint="eastAsia" w:ascii="宋体" w:hAnsi="宋体" w:eastAsia="宋体" w:cs="宋体"/>
                <w:szCs w:val="21"/>
              </w:rPr>
              <w:t>专业核心模块</w:t>
            </w:r>
          </w:p>
        </w:tc>
        <w:tc>
          <w:tcPr>
            <w:tcW w:w="1071" w:type="dxa"/>
            <w:vAlign w:val="center"/>
          </w:tcPr>
          <w:p>
            <w:pPr>
              <w:jc w:val="center"/>
              <w:rPr>
                <w:rFonts w:ascii="宋体" w:hAnsi="宋体" w:eastAsia="宋体" w:cs="宋体"/>
                <w:szCs w:val="21"/>
              </w:rPr>
            </w:pPr>
            <w:r>
              <w:rPr>
                <w:rFonts w:hint="eastAsia" w:ascii="宋体" w:hAnsi="宋体" w:eastAsia="宋体" w:cs="宋体"/>
                <w:szCs w:val="21"/>
              </w:rPr>
              <w:t>必修</w:t>
            </w:r>
          </w:p>
        </w:tc>
        <w:tc>
          <w:tcPr>
            <w:tcW w:w="1378" w:type="dxa"/>
            <w:vAlign w:val="center"/>
          </w:tcPr>
          <w:p>
            <w:pPr>
              <w:jc w:val="center"/>
              <w:rPr>
                <w:rFonts w:ascii="宋体" w:hAnsi="宋体" w:eastAsia="宋体" w:cs="宋体"/>
                <w:szCs w:val="21"/>
              </w:rPr>
            </w:pPr>
            <w:r>
              <w:rPr>
                <w:rFonts w:hint="eastAsia" w:ascii="宋体" w:hAnsi="宋体" w:eastAsia="宋体" w:cs="宋体"/>
                <w:szCs w:val="21"/>
              </w:rPr>
              <w:t>154</w:t>
            </w:r>
          </w:p>
        </w:tc>
        <w:tc>
          <w:tcPr>
            <w:tcW w:w="1379" w:type="dxa"/>
            <w:vAlign w:val="center"/>
          </w:tcPr>
          <w:p>
            <w:pPr>
              <w:jc w:val="center"/>
              <w:rPr>
                <w:rFonts w:ascii="宋体" w:hAnsi="宋体" w:eastAsia="宋体" w:cs="宋体"/>
                <w:szCs w:val="21"/>
              </w:rPr>
            </w:pPr>
            <w:r>
              <w:rPr>
                <w:rFonts w:hint="eastAsia" w:ascii="宋体" w:hAnsi="宋体" w:eastAsia="宋体" w:cs="宋体"/>
                <w:szCs w:val="21"/>
              </w:rPr>
              <w:t>140</w:t>
            </w:r>
          </w:p>
        </w:tc>
        <w:tc>
          <w:tcPr>
            <w:tcW w:w="1606" w:type="dxa"/>
            <w:vAlign w:val="center"/>
          </w:tcPr>
          <w:p>
            <w:pPr>
              <w:jc w:val="center"/>
              <w:rPr>
                <w:rFonts w:ascii="宋体" w:hAnsi="宋体" w:eastAsia="宋体" w:cs="宋体"/>
                <w:szCs w:val="21"/>
              </w:rPr>
            </w:pPr>
            <w:r>
              <w:rPr>
                <w:rFonts w:hint="eastAsia" w:ascii="宋体" w:hAnsi="宋体" w:eastAsia="宋体" w:cs="宋体"/>
                <w:szCs w:val="21"/>
              </w:rPr>
              <w:t>1.1</w:t>
            </w:r>
          </w:p>
        </w:tc>
        <w:tc>
          <w:tcPr>
            <w:tcW w:w="1588" w:type="dxa"/>
            <w:noWrap/>
            <w:vAlign w:val="center"/>
          </w:tcPr>
          <w:p>
            <w:pPr>
              <w:jc w:val="center"/>
              <w:rPr>
                <w:rFonts w:ascii="宋体" w:hAnsi="宋体" w:eastAsia="宋体" w:cs="宋体"/>
                <w:szCs w:val="21"/>
              </w:rPr>
            </w:pPr>
            <w:r>
              <w:rPr>
                <w:rFonts w:hint="eastAsia" w:ascii="宋体" w:hAnsi="宋体" w:eastAsia="宋体" w:cs="宋体"/>
                <w:szCs w:val="21"/>
              </w:rPr>
              <w:t>10.69%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50" w:type="dxa"/>
            <w:vAlign w:val="center"/>
          </w:tcPr>
          <w:p>
            <w:pPr>
              <w:jc w:val="center"/>
              <w:rPr>
                <w:rFonts w:ascii="宋体" w:hAnsi="宋体" w:eastAsia="宋体" w:cs="宋体"/>
                <w:szCs w:val="21"/>
              </w:rPr>
            </w:pPr>
            <w:r>
              <w:rPr>
                <w:rFonts w:hint="eastAsia" w:ascii="宋体" w:hAnsi="宋体" w:eastAsia="宋体" w:cs="宋体"/>
                <w:szCs w:val="21"/>
              </w:rPr>
              <w:t>选修课模块</w:t>
            </w:r>
          </w:p>
        </w:tc>
        <w:tc>
          <w:tcPr>
            <w:tcW w:w="1071" w:type="dxa"/>
            <w:vAlign w:val="center"/>
          </w:tcPr>
          <w:p>
            <w:pPr>
              <w:jc w:val="center"/>
              <w:rPr>
                <w:rFonts w:ascii="宋体" w:hAnsi="宋体" w:eastAsia="宋体" w:cs="宋体"/>
                <w:szCs w:val="21"/>
              </w:rPr>
            </w:pPr>
            <w:r>
              <w:rPr>
                <w:rFonts w:hint="eastAsia" w:ascii="宋体" w:hAnsi="宋体" w:eastAsia="宋体" w:cs="宋体"/>
                <w:szCs w:val="21"/>
              </w:rPr>
              <w:t>选修</w:t>
            </w:r>
          </w:p>
        </w:tc>
        <w:tc>
          <w:tcPr>
            <w:tcW w:w="1378" w:type="dxa"/>
            <w:vAlign w:val="center"/>
          </w:tcPr>
          <w:p>
            <w:pPr>
              <w:jc w:val="center"/>
              <w:rPr>
                <w:rFonts w:ascii="宋体" w:hAnsi="宋体" w:eastAsia="宋体" w:cs="宋体"/>
                <w:szCs w:val="21"/>
              </w:rPr>
            </w:pPr>
            <w:r>
              <w:rPr>
                <w:rFonts w:hint="eastAsia" w:ascii="宋体" w:hAnsi="宋体" w:eastAsia="宋体" w:cs="宋体"/>
                <w:szCs w:val="21"/>
              </w:rPr>
              <w:t>240</w:t>
            </w:r>
          </w:p>
        </w:tc>
        <w:tc>
          <w:tcPr>
            <w:tcW w:w="1379" w:type="dxa"/>
            <w:vAlign w:val="center"/>
          </w:tcPr>
          <w:p>
            <w:pPr>
              <w:jc w:val="center"/>
              <w:rPr>
                <w:rFonts w:ascii="宋体" w:hAnsi="宋体" w:eastAsia="宋体" w:cs="宋体"/>
                <w:szCs w:val="21"/>
              </w:rPr>
            </w:pPr>
            <w:r>
              <w:rPr>
                <w:rFonts w:hint="eastAsia" w:ascii="宋体" w:hAnsi="宋体" w:eastAsia="宋体" w:cs="宋体"/>
                <w:szCs w:val="21"/>
              </w:rPr>
              <w:t>64</w:t>
            </w:r>
          </w:p>
        </w:tc>
        <w:tc>
          <w:tcPr>
            <w:tcW w:w="1606" w:type="dxa"/>
            <w:vAlign w:val="center"/>
          </w:tcPr>
          <w:p>
            <w:pPr>
              <w:jc w:val="center"/>
              <w:rPr>
                <w:rFonts w:ascii="宋体" w:hAnsi="宋体" w:eastAsia="宋体" w:cs="宋体"/>
                <w:szCs w:val="21"/>
              </w:rPr>
            </w:pPr>
            <w:r>
              <w:rPr>
                <w:rFonts w:hint="eastAsia" w:ascii="宋体" w:hAnsi="宋体" w:eastAsia="宋体" w:cs="宋体"/>
                <w:szCs w:val="21"/>
              </w:rPr>
              <w:t>3.75</w:t>
            </w:r>
          </w:p>
        </w:tc>
        <w:tc>
          <w:tcPr>
            <w:tcW w:w="1588" w:type="dxa"/>
            <w:noWrap/>
            <w:vAlign w:val="center"/>
          </w:tcPr>
          <w:p>
            <w:pPr>
              <w:jc w:val="center"/>
              <w:rPr>
                <w:rFonts w:ascii="宋体" w:hAnsi="宋体" w:eastAsia="宋体" w:cs="宋体"/>
                <w:szCs w:val="21"/>
              </w:rPr>
            </w:pPr>
            <w:r>
              <w:rPr>
                <w:rFonts w:hint="eastAsia" w:ascii="宋体" w:hAnsi="宋体" w:eastAsia="宋体" w:cs="宋体"/>
                <w:szCs w:val="21"/>
              </w:rP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50" w:type="dxa"/>
            <w:vAlign w:val="center"/>
          </w:tcPr>
          <w:p>
            <w:pPr>
              <w:jc w:val="center"/>
              <w:rPr>
                <w:rFonts w:ascii="宋体" w:hAnsi="宋体" w:eastAsia="宋体" w:cs="宋体"/>
                <w:szCs w:val="21"/>
              </w:rPr>
            </w:pPr>
            <w:r>
              <w:rPr>
                <w:rFonts w:hint="eastAsia" w:ascii="宋体" w:hAnsi="宋体" w:eastAsia="宋体" w:cs="宋体"/>
                <w:szCs w:val="21"/>
              </w:rPr>
              <w:t>实习</w:t>
            </w:r>
          </w:p>
        </w:tc>
        <w:tc>
          <w:tcPr>
            <w:tcW w:w="1071" w:type="dxa"/>
            <w:vAlign w:val="center"/>
          </w:tcPr>
          <w:p>
            <w:pPr>
              <w:jc w:val="center"/>
              <w:rPr>
                <w:rFonts w:ascii="宋体" w:hAnsi="宋体" w:eastAsia="宋体" w:cs="宋体"/>
                <w:szCs w:val="21"/>
              </w:rPr>
            </w:pPr>
            <w:r>
              <w:rPr>
                <w:rFonts w:hint="eastAsia" w:ascii="宋体" w:hAnsi="宋体" w:eastAsia="宋体" w:cs="宋体"/>
                <w:szCs w:val="21"/>
              </w:rPr>
              <w:t>必修</w:t>
            </w:r>
          </w:p>
        </w:tc>
        <w:tc>
          <w:tcPr>
            <w:tcW w:w="1378" w:type="dxa"/>
            <w:vAlign w:val="center"/>
          </w:tcPr>
          <w:p>
            <w:pPr>
              <w:jc w:val="center"/>
              <w:rPr>
                <w:rFonts w:ascii="宋体" w:hAnsi="宋体" w:eastAsia="宋体" w:cs="宋体"/>
                <w:szCs w:val="21"/>
              </w:rPr>
            </w:pPr>
            <w:r>
              <w:rPr>
                <w:rFonts w:hint="eastAsia" w:ascii="宋体" w:hAnsi="宋体" w:eastAsia="宋体" w:cs="宋体"/>
                <w:szCs w:val="21"/>
              </w:rPr>
              <w:t>0</w:t>
            </w:r>
          </w:p>
        </w:tc>
        <w:tc>
          <w:tcPr>
            <w:tcW w:w="1379" w:type="dxa"/>
            <w:vAlign w:val="center"/>
          </w:tcPr>
          <w:p>
            <w:pPr>
              <w:jc w:val="center"/>
              <w:rPr>
                <w:rFonts w:ascii="宋体" w:hAnsi="宋体" w:eastAsia="宋体" w:cs="宋体"/>
                <w:szCs w:val="21"/>
              </w:rPr>
            </w:pPr>
            <w:r>
              <w:rPr>
                <w:rFonts w:hint="eastAsia" w:ascii="宋体" w:hAnsi="宋体" w:eastAsia="宋体" w:cs="宋体"/>
                <w:szCs w:val="21"/>
              </w:rPr>
              <w:t>1200</w:t>
            </w:r>
          </w:p>
        </w:tc>
        <w:tc>
          <w:tcPr>
            <w:tcW w:w="1606" w:type="dxa"/>
            <w:vAlign w:val="center"/>
          </w:tcPr>
          <w:p>
            <w:pPr>
              <w:jc w:val="center"/>
              <w:rPr>
                <w:rFonts w:ascii="宋体" w:hAnsi="宋体" w:eastAsia="宋体" w:cs="宋体"/>
                <w:szCs w:val="21"/>
              </w:rPr>
            </w:pPr>
            <w:r>
              <w:rPr>
                <w:rFonts w:hint="eastAsia" w:ascii="宋体" w:hAnsi="宋体" w:eastAsia="宋体" w:cs="宋体"/>
                <w:szCs w:val="21"/>
              </w:rPr>
              <w:t>0</w:t>
            </w:r>
          </w:p>
        </w:tc>
        <w:tc>
          <w:tcPr>
            <w:tcW w:w="1588" w:type="dxa"/>
            <w:noWrap/>
            <w:vAlign w:val="center"/>
          </w:tcPr>
          <w:p>
            <w:pPr>
              <w:jc w:val="center"/>
              <w:rPr>
                <w:rFonts w:ascii="宋体" w:hAnsi="宋体" w:eastAsia="宋体" w:cs="宋体"/>
                <w:szCs w:val="21"/>
              </w:rPr>
            </w:pPr>
            <w:r>
              <w:rPr>
                <w:rFonts w:hint="eastAsia" w:ascii="宋体" w:hAnsi="宋体" w:eastAsia="宋体" w:cs="宋体"/>
                <w:szCs w:val="21"/>
              </w:rPr>
              <w:t>42.91%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50" w:type="dxa"/>
            <w:vAlign w:val="center"/>
          </w:tcPr>
          <w:p>
            <w:pPr>
              <w:jc w:val="center"/>
              <w:rPr>
                <w:rFonts w:ascii="宋体" w:hAnsi="宋体" w:eastAsia="宋体" w:cs="宋体"/>
                <w:szCs w:val="21"/>
              </w:rPr>
            </w:pPr>
            <w:r>
              <w:rPr>
                <w:rFonts w:hint="eastAsia" w:ascii="宋体" w:hAnsi="宋体" w:eastAsia="宋体" w:cs="宋体"/>
                <w:szCs w:val="21"/>
              </w:rPr>
              <w:t>合计</w:t>
            </w:r>
          </w:p>
        </w:tc>
        <w:tc>
          <w:tcPr>
            <w:tcW w:w="1071" w:type="dxa"/>
            <w:vAlign w:val="center"/>
          </w:tcPr>
          <w:p>
            <w:pPr>
              <w:jc w:val="center"/>
              <w:rPr>
                <w:rFonts w:ascii="宋体" w:hAnsi="宋体" w:eastAsia="宋体" w:cs="宋体"/>
                <w:szCs w:val="21"/>
              </w:rPr>
            </w:pPr>
          </w:p>
        </w:tc>
        <w:tc>
          <w:tcPr>
            <w:tcW w:w="1378" w:type="dxa"/>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1042</w:t>
            </w:r>
          </w:p>
        </w:tc>
        <w:tc>
          <w:tcPr>
            <w:tcW w:w="1379" w:type="dxa"/>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1868</w:t>
            </w:r>
          </w:p>
        </w:tc>
        <w:tc>
          <w:tcPr>
            <w:tcW w:w="1606" w:type="dxa"/>
            <w:vAlign w:val="center"/>
          </w:tcPr>
          <w:p>
            <w:pPr>
              <w:jc w:val="center"/>
              <w:rPr>
                <w:rFonts w:ascii="宋体" w:hAnsi="宋体" w:eastAsia="宋体" w:cs="宋体"/>
                <w:szCs w:val="21"/>
              </w:rPr>
            </w:pPr>
            <w:r>
              <w:rPr>
                <w:rFonts w:hint="eastAsia" w:ascii="宋体" w:hAnsi="宋体" w:eastAsia="宋体" w:cs="宋体"/>
                <w:szCs w:val="21"/>
              </w:rPr>
              <w:t>0.5578</w:t>
            </w:r>
          </w:p>
        </w:tc>
        <w:tc>
          <w:tcPr>
            <w:tcW w:w="1588" w:type="dxa"/>
            <w:noWrap/>
            <w:vAlign w:val="center"/>
          </w:tcPr>
          <w:p>
            <w:pPr>
              <w:jc w:val="center"/>
              <w:rPr>
                <w:rFonts w:ascii="宋体" w:hAnsi="宋体" w:eastAsia="宋体" w:cs="宋体"/>
                <w:szCs w:val="21"/>
              </w:rPr>
            </w:pPr>
            <w:r>
              <w:rPr>
                <w:rFonts w:hint="eastAsia" w:ascii="宋体" w:hAnsi="宋体" w:eastAsia="宋体" w:cs="宋体"/>
                <w:szCs w:val="21"/>
              </w:rPr>
              <w:t>100%</w:t>
            </w:r>
          </w:p>
        </w:tc>
      </w:tr>
    </w:tbl>
    <w:p>
      <w:pPr>
        <w:adjustRightInd w:val="0"/>
        <w:snapToGrid w:val="0"/>
        <w:spacing w:line="360" w:lineRule="auto"/>
        <w:ind w:firstLine="482" w:firstLineChars="200"/>
        <w:jc w:val="center"/>
        <w:rPr>
          <w:rFonts w:ascii="宋体" w:hAnsi="宋体" w:eastAsia="宋体" w:cs="宋体"/>
          <w:b/>
          <w:sz w:val="24"/>
        </w:rPr>
      </w:pPr>
    </w:p>
    <w:p>
      <w:p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表4 教学活动时间分配表</w:t>
      </w:r>
    </w:p>
    <w:tbl>
      <w:tblPr>
        <w:tblStyle w:val="8"/>
        <w:tblW w:w="8972" w:type="dxa"/>
        <w:jc w:val="center"/>
        <w:tblLayout w:type="fixed"/>
        <w:tblCellMar>
          <w:top w:w="0" w:type="dxa"/>
          <w:left w:w="0" w:type="dxa"/>
          <w:bottom w:w="0" w:type="dxa"/>
          <w:right w:w="0" w:type="dxa"/>
        </w:tblCellMar>
      </w:tblPr>
      <w:tblGrid>
        <w:gridCol w:w="1080"/>
        <w:gridCol w:w="1080"/>
        <w:gridCol w:w="857"/>
        <w:gridCol w:w="1303"/>
        <w:gridCol w:w="962"/>
        <w:gridCol w:w="1005"/>
        <w:gridCol w:w="1065"/>
        <w:gridCol w:w="735"/>
        <w:gridCol w:w="885"/>
      </w:tblGrid>
      <w:tr>
        <w:tblPrEx>
          <w:tblCellMar>
            <w:top w:w="0" w:type="dxa"/>
            <w:left w:w="0" w:type="dxa"/>
            <w:bottom w:w="0" w:type="dxa"/>
            <w:right w:w="0" w:type="dxa"/>
          </w:tblCellMar>
        </w:tblPrEx>
        <w:trPr>
          <w:trHeight w:val="9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教学</w:t>
            </w:r>
          </w:p>
          <w:p>
            <w:pPr>
              <w:jc w:val="center"/>
            </w:pPr>
            <w:r>
              <w:rPr>
                <w:rFonts w:hint="eastAsia"/>
              </w:rPr>
              <w:t>学期</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教学周（含节假日）</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考核</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军事理论</w:t>
            </w:r>
          </w:p>
          <w:p>
            <w:pPr>
              <w:jc w:val="center"/>
            </w:pPr>
            <w:r>
              <w:rPr>
                <w:rFonts w:hint="eastAsia"/>
              </w:rPr>
              <w:t>与技能</w:t>
            </w: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毕业</w:t>
            </w:r>
          </w:p>
          <w:p>
            <w:pPr>
              <w:jc w:val="center"/>
            </w:pPr>
            <w:r>
              <w:rPr>
                <w:rFonts w:hint="eastAsia"/>
              </w:rPr>
              <w:t>教育</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教学</w:t>
            </w:r>
          </w:p>
          <w:p>
            <w:pPr>
              <w:jc w:val="center"/>
            </w:pPr>
            <w:r>
              <w:rPr>
                <w:rFonts w:hint="eastAsia"/>
              </w:rPr>
              <w:t>见习</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社会</w:t>
            </w:r>
          </w:p>
          <w:p>
            <w:pPr>
              <w:jc w:val="center"/>
            </w:pPr>
            <w:r>
              <w:rPr>
                <w:rFonts w:hint="eastAsia"/>
              </w:rPr>
              <w:t>实践</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毕业 实习</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合计</w:t>
            </w:r>
          </w:p>
        </w:tc>
      </w:tr>
      <w:tr>
        <w:tblPrEx>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16</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w:t>
            </w: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r>
      <w:tr>
        <w:tblPrEx>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17</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r>
      <w:tr>
        <w:tblPrEx>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3</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18</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r>
      <w:tr>
        <w:tblPrEx>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4</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6</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13</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r>
      <w:tr>
        <w:tblPrEx>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5</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r>
      <w:tr>
        <w:tblPrEx>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6</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5</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5</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7</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r>
      <w:tr>
        <w:tblPrEx>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合计</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62</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5</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w:t>
            </w: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7</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40</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120</w:t>
            </w:r>
          </w:p>
        </w:tc>
      </w:tr>
    </w:tbl>
    <w:p>
      <w:pPr>
        <w:adjustRightInd w:val="0"/>
        <w:snapToGrid w:val="0"/>
        <w:spacing w:line="360" w:lineRule="auto"/>
        <w:rPr>
          <w:rFonts w:ascii="宋体" w:hAnsi="宋体" w:eastAsia="宋体" w:cs="宋体"/>
          <w:b/>
          <w:sz w:val="24"/>
        </w:rPr>
      </w:pPr>
    </w:p>
    <w:p>
      <w:pPr>
        <w:adjustRightInd w:val="0"/>
        <w:snapToGrid w:val="0"/>
        <w:spacing w:line="360" w:lineRule="auto"/>
        <w:rPr>
          <w:rFonts w:ascii="宋体" w:hAnsi="宋体" w:eastAsia="宋体" w:cs="宋体"/>
          <w:sz w:val="24"/>
        </w:rPr>
      </w:pPr>
      <w:r>
        <w:rPr>
          <w:rFonts w:hint="eastAsia" w:ascii="宋体" w:hAnsi="宋体" w:eastAsia="宋体" w:cs="宋体"/>
          <w:b/>
          <w:sz w:val="24"/>
        </w:rPr>
        <w:t>八、实施保障</w:t>
      </w:r>
    </w:p>
    <w:p>
      <w:pPr>
        <w:pStyle w:val="3"/>
        <w:spacing w:line="360" w:lineRule="auto"/>
        <w:ind w:firstLine="482" w:firstLineChars="200"/>
        <w:rPr>
          <w:rFonts w:ascii="宋体" w:hAnsi="宋体" w:eastAsia="宋体" w:cs="宋体"/>
          <w:sz w:val="24"/>
          <w:szCs w:val="24"/>
        </w:rPr>
      </w:pPr>
      <w:bookmarkStart w:id="2" w:name="_Toc521083036"/>
      <w:bookmarkStart w:id="3" w:name="_Toc525381619"/>
      <w:bookmarkStart w:id="4" w:name="_Toc525414589"/>
      <w:bookmarkStart w:id="5" w:name="_Toc521082836"/>
      <w:bookmarkStart w:id="6" w:name="_Toc527369375"/>
      <w:r>
        <w:rPr>
          <w:rFonts w:hint="eastAsia" w:ascii="宋体" w:hAnsi="宋体" w:eastAsia="宋体" w:cs="宋体"/>
          <w:sz w:val="24"/>
          <w:szCs w:val="24"/>
        </w:rPr>
        <w:t>（一）师资队伍</w:t>
      </w:r>
      <w:bookmarkEnd w:id="2"/>
      <w:bookmarkEnd w:id="3"/>
      <w:bookmarkEnd w:id="4"/>
      <w:bookmarkEnd w:id="5"/>
      <w:bookmarkEnd w:id="6"/>
    </w:p>
    <w:p>
      <w:pPr>
        <w:spacing w:line="360" w:lineRule="auto"/>
        <w:ind w:firstLine="480" w:firstLineChars="200"/>
        <w:rPr>
          <w:rFonts w:ascii="宋体" w:hAnsi="宋体" w:eastAsia="宋体" w:cs="宋体"/>
          <w:sz w:val="24"/>
        </w:rPr>
      </w:pPr>
      <w:bookmarkStart w:id="7" w:name="_Toc527369376"/>
      <w:bookmarkStart w:id="8" w:name="_Toc525414590"/>
      <w:bookmarkStart w:id="9" w:name="_Toc521083037"/>
      <w:bookmarkStart w:id="10" w:name="_Toc521082837"/>
      <w:bookmarkStart w:id="11" w:name="_Toc525381620"/>
      <w:r>
        <w:rPr>
          <w:rFonts w:hint="eastAsia" w:ascii="宋体" w:hAnsi="宋体" w:eastAsia="宋体" w:cs="宋体"/>
          <w:sz w:val="24"/>
        </w:rPr>
        <w:t>有高水平的学科带头人2名、专业骨干教师3名。专任教师队伍数量足够，年龄、学历结构合理，具有“双师”素质教师占70%以上，具有行业企业生产一线工作经历的达40％以上，高级职称的比例达25%以上，硕士以上学位的教师达50%以上。聘请行业企业的技术专家4-6名，初步形成实践技能课程和顶岗实习主要由兼职教师讲授和能工巧匠指导的机制，专兼职教师比例达到1：1以上。校内实训指导教师具有高级工以上职业资格证书或2年以上相关企业工作经历。</w:t>
      </w:r>
    </w:p>
    <w:p>
      <w:pPr>
        <w:pStyle w:val="3"/>
        <w:spacing w:line="360" w:lineRule="auto"/>
        <w:ind w:firstLine="482" w:firstLineChars="200"/>
        <w:rPr>
          <w:rFonts w:ascii="宋体" w:hAnsi="宋体" w:eastAsia="宋体" w:cs="宋体"/>
          <w:sz w:val="24"/>
          <w:szCs w:val="24"/>
        </w:rPr>
      </w:pPr>
      <w:r>
        <w:rPr>
          <w:rFonts w:hint="eastAsia" w:ascii="宋体" w:hAnsi="宋体" w:eastAsia="宋体" w:cs="宋体"/>
          <w:sz w:val="24"/>
          <w:szCs w:val="24"/>
        </w:rPr>
        <w:t>（二）教学设施</w:t>
      </w:r>
      <w:bookmarkEnd w:id="7"/>
      <w:bookmarkEnd w:id="8"/>
      <w:bookmarkEnd w:id="9"/>
      <w:bookmarkEnd w:id="10"/>
      <w:bookmarkEnd w:id="11"/>
    </w:p>
    <w:p>
      <w:pPr>
        <w:pStyle w:val="4"/>
        <w:spacing w:line="360" w:lineRule="auto"/>
        <w:ind w:firstLine="482" w:firstLineChars="200"/>
        <w:rPr>
          <w:rFonts w:ascii="宋体" w:hAnsi="宋体" w:eastAsia="宋体" w:cs="宋体"/>
          <w:sz w:val="24"/>
        </w:rPr>
      </w:pPr>
      <w:r>
        <w:rPr>
          <w:rFonts w:hint="eastAsia" w:ascii="宋体" w:hAnsi="宋体" w:eastAsia="宋体" w:cs="宋体"/>
          <w:sz w:val="24"/>
        </w:rPr>
        <w:t>1.校内实训</w:t>
      </w:r>
    </w:p>
    <w:p>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专业与行业企业紧密结合，系统设计、实施生产性实训和顶岗实习，探索建立“校中厂”、“厂中校”等形式的实践教学基地。学校应按照本专业教学计划、教学大纲的要求，设置与本专业所开设课程相适应的教学实验实训基地，购置必要的实验实训教学仪器设备。实验实训教学仪器设备的总值不少于900万元，并且根据学校五年规划本专业招生总数，生均不少于0.5万元。</w:t>
      </w:r>
    </w:p>
    <w:p>
      <w:pPr>
        <w:spacing w:line="360" w:lineRule="auto"/>
        <w:ind w:firstLine="482" w:firstLineChars="200"/>
        <w:jc w:val="center"/>
        <w:rPr>
          <w:rFonts w:ascii="宋体" w:hAnsi="宋体" w:eastAsia="宋体" w:cs="宋体"/>
          <w:b/>
          <w:bCs/>
          <w:sz w:val="24"/>
        </w:rPr>
      </w:pPr>
      <w:r>
        <w:rPr>
          <w:rFonts w:hint="eastAsia" w:ascii="宋体" w:hAnsi="宋体" w:eastAsia="宋体" w:cs="宋体"/>
          <w:b/>
          <w:bCs/>
          <w:sz w:val="24"/>
        </w:rPr>
        <w:t>表5   中药材生产与加工专业实验实训主要仪器设备一览表</w:t>
      </w:r>
    </w:p>
    <w:tbl>
      <w:tblPr>
        <w:tblStyle w:val="8"/>
        <w:tblW w:w="9854" w:type="dxa"/>
        <w:jc w:val="center"/>
        <w:tblLayout w:type="fixed"/>
        <w:tblCellMar>
          <w:top w:w="0" w:type="dxa"/>
          <w:left w:w="108" w:type="dxa"/>
          <w:bottom w:w="0" w:type="dxa"/>
          <w:right w:w="108" w:type="dxa"/>
        </w:tblCellMar>
      </w:tblPr>
      <w:tblGrid>
        <w:gridCol w:w="802"/>
        <w:gridCol w:w="1864"/>
        <w:gridCol w:w="802"/>
        <w:gridCol w:w="2659"/>
        <w:gridCol w:w="802"/>
        <w:gridCol w:w="2925"/>
      </w:tblGrid>
      <w:tr>
        <w:tblPrEx>
          <w:tblCellMar>
            <w:top w:w="0" w:type="dxa"/>
            <w:left w:w="108" w:type="dxa"/>
            <w:bottom w:w="0" w:type="dxa"/>
            <w:right w:w="108" w:type="dxa"/>
          </w:tblCellMar>
        </w:tblPrEx>
        <w:trPr>
          <w:trHeight w:val="20" w:hRule="atLeast"/>
          <w:jc w:val="center"/>
        </w:trPr>
        <w:tc>
          <w:tcPr>
            <w:tcW w:w="2666"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中药饮片生产仪器</w:t>
            </w:r>
          </w:p>
        </w:tc>
        <w:tc>
          <w:tcPr>
            <w:tcW w:w="3461" w:type="dxa"/>
            <w:gridSpan w:val="2"/>
            <w:tcBorders>
              <w:top w:val="single" w:color="auto" w:sz="4" w:space="0"/>
              <w:left w:val="nil"/>
              <w:bottom w:val="single" w:color="auto" w:sz="4" w:space="0"/>
              <w:right w:val="single" w:color="auto" w:sz="4" w:space="0"/>
            </w:tcBorders>
            <w:vAlign w:val="center"/>
          </w:tcPr>
          <w:p>
            <w:pPr>
              <w:jc w:val="center"/>
            </w:pPr>
            <w:r>
              <w:rPr>
                <w:rFonts w:hint="eastAsia"/>
              </w:rPr>
              <w:t>中药栽培仪器</w:t>
            </w:r>
          </w:p>
        </w:tc>
        <w:tc>
          <w:tcPr>
            <w:tcW w:w="3727" w:type="dxa"/>
            <w:gridSpan w:val="2"/>
            <w:tcBorders>
              <w:top w:val="single" w:color="auto" w:sz="4" w:space="0"/>
              <w:left w:val="nil"/>
              <w:bottom w:val="single" w:color="auto" w:sz="4" w:space="0"/>
              <w:right w:val="single" w:color="auto" w:sz="4" w:space="0"/>
            </w:tcBorders>
            <w:vAlign w:val="center"/>
          </w:tcPr>
          <w:p>
            <w:pPr>
              <w:jc w:val="center"/>
            </w:pPr>
            <w:r>
              <w:rPr>
                <w:rFonts w:hint="eastAsia"/>
              </w:rPr>
              <w:t>中药检测仪器</w:t>
            </w:r>
          </w:p>
        </w:tc>
      </w:tr>
      <w:tr>
        <w:tblPrEx>
          <w:tblCellMar>
            <w:top w:w="0" w:type="dxa"/>
            <w:left w:w="108" w:type="dxa"/>
            <w:bottom w:w="0" w:type="dxa"/>
            <w:right w:w="108" w:type="dxa"/>
          </w:tblCellMar>
        </w:tblPrEx>
        <w:trPr>
          <w:trHeight w:val="20" w:hRule="atLeast"/>
          <w:jc w:val="center"/>
        </w:trPr>
        <w:tc>
          <w:tcPr>
            <w:tcW w:w="802"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编号</w:t>
            </w:r>
          </w:p>
        </w:tc>
        <w:tc>
          <w:tcPr>
            <w:tcW w:w="1864" w:type="dxa"/>
            <w:tcBorders>
              <w:top w:val="single" w:color="auto" w:sz="4" w:space="0"/>
              <w:left w:val="nil"/>
              <w:bottom w:val="single" w:color="auto" w:sz="4" w:space="0"/>
              <w:right w:val="single" w:color="auto" w:sz="4" w:space="0"/>
            </w:tcBorders>
            <w:vAlign w:val="center"/>
          </w:tcPr>
          <w:p>
            <w:pPr>
              <w:jc w:val="center"/>
            </w:pPr>
            <w:r>
              <w:rPr>
                <w:rFonts w:hint="eastAsia"/>
              </w:rPr>
              <w:t>名称</w:t>
            </w:r>
          </w:p>
        </w:tc>
        <w:tc>
          <w:tcPr>
            <w:tcW w:w="802" w:type="dxa"/>
            <w:tcBorders>
              <w:top w:val="single" w:color="auto" w:sz="4" w:space="0"/>
              <w:left w:val="nil"/>
              <w:bottom w:val="single" w:color="auto" w:sz="4" w:space="0"/>
              <w:right w:val="single" w:color="auto" w:sz="4" w:space="0"/>
            </w:tcBorders>
            <w:vAlign w:val="center"/>
          </w:tcPr>
          <w:p>
            <w:pPr>
              <w:jc w:val="center"/>
            </w:pPr>
            <w:r>
              <w:rPr>
                <w:rFonts w:hint="eastAsia"/>
              </w:rPr>
              <w:t>编号</w:t>
            </w:r>
          </w:p>
        </w:tc>
        <w:tc>
          <w:tcPr>
            <w:tcW w:w="2659" w:type="dxa"/>
            <w:tcBorders>
              <w:top w:val="single" w:color="auto" w:sz="4" w:space="0"/>
              <w:left w:val="nil"/>
              <w:bottom w:val="single" w:color="auto" w:sz="4" w:space="0"/>
              <w:right w:val="single" w:color="auto" w:sz="4" w:space="0"/>
            </w:tcBorders>
            <w:vAlign w:val="center"/>
          </w:tcPr>
          <w:p>
            <w:pPr>
              <w:jc w:val="center"/>
            </w:pPr>
            <w:r>
              <w:rPr>
                <w:rFonts w:hint="eastAsia"/>
              </w:rPr>
              <w:t>名称</w:t>
            </w:r>
          </w:p>
        </w:tc>
        <w:tc>
          <w:tcPr>
            <w:tcW w:w="802" w:type="dxa"/>
            <w:tcBorders>
              <w:top w:val="single" w:color="auto" w:sz="4" w:space="0"/>
              <w:left w:val="nil"/>
              <w:bottom w:val="single" w:color="auto" w:sz="4" w:space="0"/>
              <w:right w:val="single" w:color="auto" w:sz="4" w:space="0"/>
            </w:tcBorders>
            <w:vAlign w:val="center"/>
          </w:tcPr>
          <w:p>
            <w:pPr>
              <w:jc w:val="center"/>
            </w:pPr>
            <w:r>
              <w:rPr>
                <w:rFonts w:hint="eastAsia"/>
              </w:rPr>
              <w:t>编号</w:t>
            </w:r>
          </w:p>
        </w:tc>
        <w:tc>
          <w:tcPr>
            <w:tcW w:w="2925" w:type="dxa"/>
            <w:tcBorders>
              <w:top w:val="single" w:color="auto" w:sz="4" w:space="0"/>
              <w:left w:val="nil"/>
              <w:bottom w:val="single" w:color="auto" w:sz="4" w:space="0"/>
              <w:right w:val="single" w:color="auto" w:sz="4" w:space="0"/>
            </w:tcBorders>
            <w:vAlign w:val="center"/>
          </w:tcPr>
          <w:p>
            <w:pPr>
              <w:jc w:val="center"/>
            </w:pPr>
            <w:r>
              <w:rPr>
                <w:rFonts w:hint="eastAsia"/>
              </w:rPr>
              <w:t>名称</w:t>
            </w:r>
          </w:p>
        </w:tc>
      </w:tr>
      <w:tr>
        <w:tblPrEx>
          <w:tblCellMar>
            <w:top w:w="0" w:type="dxa"/>
            <w:left w:w="108" w:type="dxa"/>
            <w:bottom w:w="0" w:type="dxa"/>
            <w:right w:w="108" w:type="dxa"/>
          </w:tblCellMar>
        </w:tblPrEx>
        <w:trPr>
          <w:trHeight w:val="20" w:hRule="atLeast"/>
          <w:jc w:val="center"/>
        </w:trPr>
        <w:tc>
          <w:tcPr>
            <w:tcW w:w="802" w:type="dxa"/>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rPr>
              <w:t>1</w:t>
            </w:r>
          </w:p>
        </w:tc>
        <w:tc>
          <w:tcPr>
            <w:tcW w:w="1864" w:type="dxa"/>
            <w:tcBorders>
              <w:top w:val="nil"/>
              <w:left w:val="nil"/>
              <w:bottom w:val="single" w:color="auto" w:sz="4" w:space="0"/>
              <w:right w:val="single" w:color="auto" w:sz="4" w:space="0"/>
            </w:tcBorders>
            <w:shd w:val="clear" w:color="auto" w:fill="auto"/>
            <w:vAlign w:val="center"/>
          </w:tcPr>
          <w:p>
            <w:pPr>
              <w:jc w:val="center"/>
            </w:pPr>
            <w:r>
              <w:rPr>
                <w:rFonts w:hint="eastAsia"/>
              </w:rPr>
              <w:t>滚筒式洗药机</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12</w:t>
            </w:r>
          </w:p>
        </w:tc>
        <w:tc>
          <w:tcPr>
            <w:tcW w:w="2659" w:type="dxa"/>
            <w:tcBorders>
              <w:top w:val="nil"/>
              <w:left w:val="nil"/>
              <w:bottom w:val="single" w:color="auto" w:sz="4" w:space="0"/>
              <w:right w:val="single" w:color="auto" w:sz="4" w:space="0"/>
            </w:tcBorders>
            <w:shd w:val="clear" w:color="auto" w:fill="auto"/>
            <w:vAlign w:val="center"/>
          </w:tcPr>
          <w:p>
            <w:pPr>
              <w:jc w:val="center"/>
            </w:pPr>
            <w:r>
              <w:rPr>
                <w:rFonts w:hint="eastAsia"/>
              </w:rPr>
              <w:t>参茸中药切片机</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23</w:t>
            </w:r>
          </w:p>
        </w:tc>
        <w:tc>
          <w:tcPr>
            <w:tcW w:w="2925" w:type="dxa"/>
            <w:tcBorders>
              <w:top w:val="nil"/>
              <w:left w:val="nil"/>
              <w:bottom w:val="single" w:color="auto" w:sz="4" w:space="0"/>
              <w:right w:val="single" w:color="auto" w:sz="4" w:space="0"/>
            </w:tcBorders>
            <w:shd w:val="clear" w:color="000000" w:fill="FFFFFF"/>
            <w:vAlign w:val="center"/>
          </w:tcPr>
          <w:p>
            <w:pPr>
              <w:jc w:val="center"/>
            </w:pPr>
            <w:r>
              <w:rPr>
                <w:rFonts w:hint="eastAsia"/>
              </w:rPr>
              <w:t>傅里叶变换红外光谱仪</w:t>
            </w:r>
          </w:p>
        </w:tc>
      </w:tr>
      <w:tr>
        <w:tblPrEx>
          <w:tblCellMar>
            <w:top w:w="0" w:type="dxa"/>
            <w:left w:w="108" w:type="dxa"/>
            <w:bottom w:w="0" w:type="dxa"/>
            <w:right w:w="108" w:type="dxa"/>
          </w:tblCellMar>
        </w:tblPrEx>
        <w:trPr>
          <w:trHeight w:val="20" w:hRule="atLeast"/>
          <w:jc w:val="center"/>
        </w:trPr>
        <w:tc>
          <w:tcPr>
            <w:tcW w:w="802" w:type="dxa"/>
            <w:tcBorders>
              <w:top w:val="nil"/>
              <w:left w:val="single" w:color="auto" w:sz="4" w:space="0"/>
              <w:bottom w:val="single" w:color="auto" w:sz="4" w:space="0"/>
              <w:right w:val="single" w:color="auto" w:sz="4" w:space="0"/>
            </w:tcBorders>
            <w:vAlign w:val="center"/>
          </w:tcPr>
          <w:p>
            <w:pPr>
              <w:jc w:val="center"/>
            </w:pPr>
            <w:r>
              <w:rPr>
                <w:rFonts w:hint="eastAsia"/>
              </w:rPr>
              <w:t>2</w:t>
            </w:r>
          </w:p>
        </w:tc>
        <w:tc>
          <w:tcPr>
            <w:tcW w:w="1864" w:type="dxa"/>
            <w:tcBorders>
              <w:top w:val="nil"/>
              <w:left w:val="nil"/>
              <w:bottom w:val="single" w:color="auto" w:sz="4" w:space="0"/>
              <w:right w:val="single" w:color="auto" w:sz="4" w:space="0"/>
            </w:tcBorders>
            <w:vAlign w:val="center"/>
          </w:tcPr>
          <w:p>
            <w:pPr>
              <w:jc w:val="center"/>
            </w:pPr>
            <w:r>
              <w:rPr>
                <w:rFonts w:hint="eastAsia"/>
              </w:rPr>
              <w:t>润药机</w:t>
            </w:r>
          </w:p>
        </w:tc>
        <w:tc>
          <w:tcPr>
            <w:tcW w:w="802" w:type="dxa"/>
            <w:tcBorders>
              <w:top w:val="nil"/>
              <w:left w:val="nil"/>
              <w:bottom w:val="single" w:color="auto" w:sz="4" w:space="0"/>
              <w:right w:val="single" w:color="auto" w:sz="4" w:space="0"/>
            </w:tcBorders>
            <w:vAlign w:val="center"/>
          </w:tcPr>
          <w:p>
            <w:pPr>
              <w:jc w:val="center"/>
            </w:pPr>
            <w:r>
              <w:rPr>
                <w:rFonts w:hint="eastAsia"/>
              </w:rPr>
              <w:t>13</w:t>
            </w:r>
          </w:p>
        </w:tc>
        <w:tc>
          <w:tcPr>
            <w:tcW w:w="2659" w:type="dxa"/>
            <w:tcBorders>
              <w:top w:val="nil"/>
              <w:left w:val="nil"/>
              <w:bottom w:val="single" w:color="auto" w:sz="4" w:space="0"/>
              <w:right w:val="single" w:color="auto" w:sz="4" w:space="0"/>
            </w:tcBorders>
            <w:vAlign w:val="center"/>
          </w:tcPr>
          <w:p>
            <w:pPr>
              <w:jc w:val="center"/>
            </w:pPr>
            <w:r>
              <w:rPr>
                <w:rFonts w:hint="eastAsia"/>
              </w:rPr>
              <w:t>无菌操作台</w:t>
            </w:r>
          </w:p>
        </w:tc>
        <w:tc>
          <w:tcPr>
            <w:tcW w:w="802" w:type="dxa"/>
            <w:tcBorders>
              <w:top w:val="nil"/>
              <w:left w:val="nil"/>
              <w:bottom w:val="single" w:color="auto" w:sz="4" w:space="0"/>
              <w:right w:val="single" w:color="auto" w:sz="4" w:space="0"/>
            </w:tcBorders>
            <w:vAlign w:val="center"/>
          </w:tcPr>
          <w:p>
            <w:pPr>
              <w:jc w:val="center"/>
            </w:pPr>
            <w:r>
              <w:rPr>
                <w:rFonts w:hint="eastAsia"/>
              </w:rPr>
              <w:t>24</w:t>
            </w:r>
          </w:p>
        </w:tc>
        <w:tc>
          <w:tcPr>
            <w:tcW w:w="2925" w:type="dxa"/>
            <w:tcBorders>
              <w:top w:val="nil"/>
              <w:left w:val="nil"/>
              <w:bottom w:val="single" w:color="auto" w:sz="4" w:space="0"/>
              <w:right w:val="single" w:color="auto" w:sz="4" w:space="0"/>
            </w:tcBorders>
            <w:vAlign w:val="center"/>
          </w:tcPr>
          <w:p>
            <w:pPr>
              <w:jc w:val="center"/>
            </w:pPr>
            <w:r>
              <w:rPr>
                <w:rFonts w:hint="eastAsia"/>
              </w:rPr>
              <w:t>岛津高效液相色谱仪</w:t>
            </w:r>
          </w:p>
        </w:tc>
      </w:tr>
      <w:tr>
        <w:tblPrEx>
          <w:tblCellMar>
            <w:top w:w="0" w:type="dxa"/>
            <w:left w:w="108" w:type="dxa"/>
            <w:bottom w:w="0" w:type="dxa"/>
            <w:right w:w="108" w:type="dxa"/>
          </w:tblCellMar>
        </w:tblPrEx>
        <w:trPr>
          <w:trHeight w:val="20" w:hRule="atLeast"/>
          <w:jc w:val="center"/>
        </w:trPr>
        <w:tc>
          <w:tcPr>
            <w:tcW w:w="802" w:type="dxa"/>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rPr>
              <w:t>3</w:t>
            </w:r>
          </w:p>
        </w:tc>
        <w:tc>
          <w:tcPr>
            <w:tcW w:w="1864" w:type="dxa"/>
            <w:tcBorders>
              <w:top w:val="nil"/>
              <w:left w:val="nil"/>
              <w:bottom w:val="single" w:color="auto" w:sz="4" w:space="0"/>
              <w:right w:val="single" w:color="auto" w:sz="4" w:space="0"/>
            </w:tcBorders>
            <w:shd w:val="clear" w:color="auto" w:fill="auto"/>
            <w:vAlign w:val="center"/>
          </w:tcPr>
          <w:p>
            <w:pPr>
              <w:jc w:val="center"/>
            </w:pPr>
            <w:r>
              <w:rPr>
                <w:rFonts w:hint="eastAsia"/>
              </w:rPr>
              <w:t>转盘式切药机</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14</w:t>
            </w:r>
          </w:p>
        </w:tc>
        <w:tc>
          <w:tcPr>
            <w:tcW w:w="2659" w:type="dxa"/>
            <w:tcBorders>
              <w:top w:val="nil"/>
              <w:left w:val="nil"/>
              <w:bottom w:val="single" w:color="auto" w:sz="4" w:space="0"/>
              <w:right w:val="single" w:color="auto" w:sz="4" w:space="0"/>
            </w:tcBorders>
            <w:shd w:val="clear" w:color="auto" w:fill="auto"/>
            <w:vAlign w:val="center"/>
          </w:tcPr>
          <w:p>
            <w:pPr>
              <w:jc w:val="center"/>
            </w:pPr>
            <w:r>
              <w:rPr>
                <w:rFonts w:hint="eastAsia"/>
              </w:rPr>
              <w:t>台式压力蒸汽消毒器</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25</w:t>
            </w:r>
          </w:p>
        </w:tc>
        <w:tc>
          <w:tcPr>
            <w:tcW w:w="2925" w:type="dxa"/>
            <w:tcBorders>
              <w:top w:val="nil"/>
              <w:left w:val="nil"/>
              <w:bottom w:val="single" w:color="auto" w:sz="4" w:space="0"/>
              <w:right w:val="single" w:color="auto" w:sz="4" w:space="0"/>
            </w:tcBorders>
            <w:shd w:val="clear" w:color="000000" w:fill="FFFFFF"/>
            <w:vAlign w:val="center"/>
          </w:tcPr>
          <w:p>
            <w:pPr>
              <w:jc w:val="center"/>
            </w:pPr>
            <w:r>
              <w:rPr>
                <w:rFonts w:hint="eastAsia"/>
              </w:rPr>
              <w:t>自动旋光仪</w:t>
            </w:r>
          </w:p>
        </w:tc>
      </w:tr>
      <w:tr>
        <w:tblPrEx>
          <w:tblCellMar>
            <w:top w:w="0" w:type="dxa"/>
            <w:left w:w="108" w:type="dxa"/>
            <w:bottom w:w="0" w:type="dxa"/>
            <w:right w:w="108" w:type="dxa"/>
          </w:tblCellMar>
        </w:tblPrEx>
        <w:trPr>
          <w:trHeight w:val="20" w:hRule="atLeast"/>
          <w:jc w:val="center"/>
        </w:trPr>
        <w:tc>
          <w:tcPr>
            <w:tcW w:w="802" w:type="dxa"/>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rPr>
              <w:t>4</w:t>
            </w:r>
          </w:p>
        </w:tc>
        <w:tc>
          <w:tcPr>
            <w:tcW w:w="1864" w:type="dxa"/>
            <w:tcBorders>
              <w:top w:val="nil"/>
              <w:left w:val="nil"/>
              <w:bottom w:val="single" w:color="auto" w:sz="4" w:space="0"/>
              <w:right w:val="single" w:color="auto" w:sz="4" w:space="0"/>
            </w:tcBorders>
            <w:shd w:val="clear" w:color="auto" w:fill="auto"/>
            <w:vAlign w:val="center"/>
          </w:tcPr>
          <w:p>
            <w:pPr>
              <w:jc w:val="center"/>
            </w:pPr>
            <w:r>
              <w:rPr>
                <w:rFonts w:hint="eastAsia"/>
              </w:rPr>
              <w:t>中药碰碎机</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15</w:t>
            </w:r>
          </w:p>
        </w:tc>
        <w:tc>
          <w:tcPr>
            <w:tcW w:w="2659" w:type="dxa"/>
            <w:tcBorders>
              <w:top w:val="nil"/>
              <w:left w:val="nil"/>
              <w:bottom w:val="single" w:color="auto" w:sz="4" w:space="0"/>
              <w:right w:val="single" w:color="auto" w:sz="4" w:space="0"/>
            </w:tcBorders>
            <w:shd w:val="clear" w:color="auto" w:fill="auto"/>
            <w:vAlign w:val="center"/>
          </w:tcPr>
          <w:p>
            <w:pPr>
              <w:jc w:val="center"/>
            </w:pPr>
            <w:r>
              <w:rPr>
                <w:rFonts w:hint="eastAsia"/>
              </w:rPr>
              <w:t>恒温培养箱</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26</w:t>
            </w:r>
          </w:p>
        </w:tc>
        <w:tc>
          <w:tcPr>
            <w:tcW w:w="2925" w:type="dxa"/>
            <w:tcBorders>
              <w:top w:val="nil"/>
              <w:left w:val="nil"/>
              <w:bottom w:val="single" w:color="auto" w:sz="4" w:space="0"/>
              <w:right w:val="single" w:color="auto" w:sz="4" w:space="0"/>
            </w:tcBorders>
            <w:shd w:val="clear" w:color="000000" w:fill="FFFFFF"/>
            <w:vAlign w:val="center"/>
          </w:tcPr>
          <w:p>
            <w:pPr>
              <w:jc w:val="center"/>
            </w:pPr>
            <w:r>
              <w:rPr>
                <w:rFonts w:hint="eastAsia"/>
              </w:rPr>
              <w:t>SX系列箱式电阻炉</w:t>
            </w:r>
          </w:p>
        </w:tc>
      </w:tr>
      <w:tr>
        <w:tblPrEx>
          <w:tblCellMar>
            <w:top w:w="0" w:type="dxa"/>
            <w:left w:w="108" w:type="dxa"/>
            <w:bottom w:w="0" w:type="dxa"/>
            <w:right w:w="108" w:type="dxa"/>
          </w:tblCellMar>
        </w:tblPrEx>
        <w:trPr>
          <w:trHeight w:val="20" w:hRule="atLeast"/>
          <w:jc w:val="center"/>
        </w:trPr>
        <w:tc>
          <w:tcPr>
            <w:tcW w:w="802" w:type="dxa"/>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rPr>
              <w:t>5</w:t>
            </w:r>
          </w:p>
        </w:tc>
        <w:tc>
          <w:tcPr>
            <w:tcW w:w="1864" w:type="dxa"/>
            <w:tcBorders>
              <w:top w:val="nil"/>
              <w:left w:val="nil"/>
              <w:bottom w:val="single" w:color="auto" w:sz="4" w:space="0"/>
              <w:right w:val="single" w:color="auto" w:sz="4" w:space="0"/>
            </w:tcBorders>
            <w:shd w:val="clear" w:color="auto" w:fill="auto"/>
            <w:vAlign w:val="center"/>
          </w:tcPr>
          <w:p>
            <w:pPr>
              <w:jc w:val="center"/>
            </w:pPr>
            <w:r>
              <w:rPr>
                <w:rFonts w:hint="eastAsia"/>
              </w:rPr>
              <w:t>中药扎扁机</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16</w:t>
            </w:r>
          </w:p>
        </w:tc>
        <w:tc>
          <w:tcPr>
            <w:tcW w:w="2659" w:type="dxa"/>
            <w:tcBorders>
              <w:top w:val="nil"/>
              <w:left w:val="nil"/>
              <w:bottom w:val="single" w:color="auto" w:sz="4" w:space="0"/>
              <w:right w:val="single" w:color="auto" w:sz="4" w:space="0"/>
            </w:tcBorders>
            <w:shd w:val="clear" w:color="auto" w:fill="auto"/>
            <w:vAlign w:val="center"/>
          </w:tcPr>
          <w:p>
            <w:pPr>
              <w:jc w:val="center"/>
            </w:pPr>
            <w:r>
              <w:rPr>
                <w:rFonts w:hint="eastAsia"/>
              </w:rPr>
              <w:t>人工气候箱</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27</w:t>
            </w:r>
          </w:p>
        </w:tc>
        <w:tc>
          <w:tcPr>
            <w:tcW w:w="2925" w:type="dxa"/>
            <w:tcBorders>
              <w:top w:val="nil"/>
              <w:left w:val="nil"/>
              <w:bottom w:val="single" w:color="auto" w:sz="4" w:space="0"/>
              <w:right w:val="single" w:color="auto" w:sz="4" w:space="0"/>
            </w:tcBorders>
            <w:shd w:val="clear" w:color="000000" w:fill="FFFFFF"/>
            <w:vAlign w:val="center"/>
          </w:tcPr>
          <w:p>
            <w:pPr>
              <w:jc w:val="center"/>
            </w:pPr>
            <w:r>
              <w:rPr>
                <w:rFonts w:hint="eastAsia"/>
              </w:rPr>
              <w:t>雷磁ph计</w:t>
            </w:r>
          </w:p>
        </w:tc>
      </w:tr>
      <w:tr>
        <w:tblPrEx>
          <w:tblCellMar>
            <w:top w:w="0" w:type="dxa"/>
            <w:left w:w="108" w:type="dxa"/>
            <w:bottom w:w="0" w:type="dxa"/>
            <w:right w:w="108" w:type="dxa"/>
          </w:tblCellMar>
        </w:tblPrEx>
        <w:trPr>
          <w:trHeight w:val="20" w:hRule="atLeast"/>
          <w:jc w:val="center"/>
        </w:trPr>
        <w:tc>
          <w:tcPr>
            <w:tcW w:w="802" w:type="dxa"/>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rPr>
              <w:t>6</w:t>
            </w:r>
          </w:p>
        </w:tc>
        <w:tc>
          <w:tcPr>
            <w:tcW w:w="1864" w:type="dxa"/>
            <w:tcBorders>
              <w:top w:val="nil"/>
              <w:left w:val="nil"/>
              <w:bottom w:val="single" w:color="auto" w:sz="4" w:space="0"/>
              <w:right w:val="single" w:color="auto" w:sz="4" w:space="0"/>
            </w:tcBorders>
            <w:shd w:val="clear" w:color="auto" w:fill="auto"/>
            <w:vAlign w:val="center"/>
          </w:tcPr>
          <w:p>
            <w:pPr>
              <w:jc w:val="center"/>
            </w:pPr>
            <w:r>
              <w:rPr>
                <w:rFonts w:hint="eastAsia"/>
              </w:rPr>
              <w:t>旋转式筛药机</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17</w:t>
            </w:r>
          </w:p>
        </w:tc>
        <w:tc>
          <w:tcPr>
            <w:tcW w:w="2659" w:type="dxa"/>
            <w:tcBorders>
              <w:top w:val="nil"/>
              <w:left w:val="nil"/>
              <w:bottom w:val="single" w:color="auto" w:sz="4" w:space="0"/>
              <w:right w:val="single" w:color="auto" w:sz="4" w:space="0"/>
            </w:tcBorders>
            <w:shd w:val="clear" w:color="auto" w:fill="auto"/>
            <w:vAlign w:val="center"/>
          </w:tcPr>
          <w:p>
            <w:pPr>
              <w:jc w:val="center"/>
            </w:pPr>
            <w:r>
              <w:rPr>
                <w:rFonts w:hint="eastAsia"/>
              </w:rPr>
              <w:t>超声波细胞粉碎机</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28</w:t>
            </w:r>
          </w:p>
        </w:tc>
        <w:tc>
          <w:tcPr>
            <w:tcW w:w="2925" w:type="dxa"/>
            <w:tcBorders>
              <w:top w:val="nil"/>
              <w:left w:val="nil"/>
              <w:bottom w:val="single" w:color="auto" w:sz="4" w:space="0"/>
              <w:right w:val="single" w:color="auto" w:sz="4" w:space="0"/>
            </w:tcBorders>
            <w:shd w:val="clear" w:color="000000" w:fill="FFFFFF"/>
            <w:vAlign w:val="center"/>
          </w:tcPr>
          <w:p>
            <w:pPr>
              <w:jc w:val="center"/>
            </w:pPr>
            <w:r>
              <w:rPr>
                <w:rFonts w:hint="eastAsia"/>
              </w:rPr>
              <w:t>烘干法水分测定仪</w:t>
            </w:r>
          </w:p>
        </w:tc>
      </w:tr>
      <w:tr>
        <w:tblPrEx>
          <w:tblCellMar>
            <w:top w:w="0" w:type="dxa"/>
            <w:left w:w="108" w:type="dxa"/>
            <w:bottom w:w="0" w:type="dxa"/>
            <w:right w:w="108" w:type="dxa"/>
          </w:tblCellMar>
        </w:tblPrEx>
        <w:trPr>
          <w:trHeight w:val="20" w:hRule="atLeast"/>
          <w:jc w:val="center"/>
        </w:trPr>
        <w:tc>
          <w:tcPr>
            <w:tcW w:w="802" w:type="dxa"/>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rPr>
              <w:t>7</w:t>
            </w:r>
          </w:p>
        </w:tc>
        <w:tc>
          <w:tcPr>
            <w:tcW w:w="1864" w:type="dxa"/>
            <w:tcBorders>
              <w:top w:val="nil"/>
              <w:left w:val="nil"/>
              <w:bottom w:val="single" w:color="auto" w:sz="4" w:space="0"/>
              <w:right w:val="single" w:color="auto" w:sz="4" w:space="0"/>
            </w:tcBorders>
            <w:shd w:val="clear" w:color="auto" w:fill="auto"/>
            <w:vAlign w:val="center"/>
          </w:tcPr>
          <w:p>
            <w:pPr>
              <w:jc w:val="center"/>
            </w:pPr>
            <w:r>
              <w:rPr>
                <w:rFonts w:hint="eastAsia"/>
              </w:rPr>
              <w:t>煅药机</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18</w:t>
            </w:r>
          </w:p>
        </w:tc>
        <w:tc>
          <w:tcPr>
            <w:tcW w:w="2659" w:type="dxa"/>
            <w:tcBorders>
              <w:top w:val="nil"/>
              <w:left w:val="nil"/>
              <w:bottom w:val="single" w:color="auto" w:sz="4" w:space="0"/>
              <w:right w:val="single" w:color="auto" w:sz="4" w:space="0"/>
            </w:tcBorders>
            <w:shd w:val="clear" w:color="auto" w:fill="auto"/>
            <w:vAlign w:val="center"/>
          </w:tcPr>
          <w:p>
            <w:pPr>
              <w:jc w:val="center"/>
            </w:pPr>
            <w:r>
              <w:rPr>
                <w:rFonts w:hint="eastAsia"/>
              </w:rPr>
              <w:t>微波提取机</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29</w:t>
            </w:r>
          </w:p>
        </w:tc>
        <w:tc>
          <w:tcPr>
            <w:tcW w:w="2925" w:type="dxa"/>
            <w:tcBorders>
              <w:top w:val="nil"/>
              <w:left w:val="nil"/>
              <w:bottom w:val="single" w:color="auto" w:sz="4" w:space="0"/>
              <w:right w:val="single" w:color="auto" w:sz="4" w:space="0"/>
            </w:tcBorders>
            <w:shd w:val="clear" w:color="000000" w:fill="FFFFFF"/>
            <w:vAlign w:val="center"/>
          </w:tcPr>
          <w:p>
            <w:pPr>
              <w:jc w:val="center"/>
            </w:pPr>
            <w:r>
              <w:rPr>
                <w:rFonts w:hint="eastAsia"/>
              </w:rPr>
              <w:t>岛津水份仪</w:t>
            </w:r>
          </w:p>
        </w:tc>
      </w:tr>
      <w:tr>
        <w:tblPrEx>
          <w:tblCellMar>
            <w:top w:w="0" w:type="dxa"/>
            <w:left w:w="108" w:type="dxa"/>
            <w:bottom w:w="0" w:type="dxa"/>
            <w:right w:w="108" w:type="dxa"/>
          </w:tblCellMar>
        </w:tblPrEx>
        <w:trPr>
          <w:trHeight w:val="20" w:hRule="atLeast"/>
          <w:jc w:val="center"/>
        </w:trPr>
        <w:tc>
          <w:tcPr>
            <w:tcW w:w="802" w:type="dxa"/>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rPr>
              <w:t>8</w:t>
            </w:r>
          </w:p>
        </w:tc>
        <w:tc>
          <w:tcPr>
            <w:tcW w:w="1864" w:type="dxa"/>
            <w:tcBorders>
              <w:top w:val="nil"/>
              <w:left w:val="nil"/>
              <w:bottom w:val="single" w:color="auto" w:sz="4" w:space="0"/>
              <w:right w:val="single" w:color="auto" w:sz="4" w:space="0"/>
            </w:tcBorders>
            <w:shd w:val="clear" w:color="auto" w:fill="auto"/>
            <w:vAlign w:val="center"/>
          </w:tcPr>
          <w:p>
            <w:pPr>
              <w:jc w:val="center"/>
            </w:pPr>
            <w:r>
              <w:rPr>
                <w:rFonts w:hint="eastAsia"/>
              </w:rPr>
              <w:t>滚筒式炒药机</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19</w:t>
            </w:r>
          </w:p>
        </w:tc>
        <w:tc>
          <w:tcPr>
            <w:tcW w:w="2659" w:type="dxa"/>
            <w:tcBorders>
              <w:top w:val="nil"/>
              <w:left w:val="nil"/>
              <w:bottom w:val="single" w:color="auto" w:sz="4" w:space="0"/>
              <w:right w:val="single" w:color="auto" w:sz="4" w:space="0"/>
            </w:tcBorders>
            <w:shd w:val="clear" w:color="auto" w:fill="auto"/>
            <w:vAlign w:val="center"/>
          </w:tcPr>
          <w:p>
            <w:pPr>
              <w:jc w:val="center"/>
            </w:pPr>
            <w:r>
              <w:rPr>
                <w:rFonts w:hint="eastAsia"/>
              </w:rPr>
              <w:t>微波萃取设备</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30</w:t>
            </w:r>
          </w:p>
        </w:tc>
        <w:tc>
          <w:tcPr>
            <w:tcW w:w="2925" w:type="dxa"/>
            <w:tcBorders>
              <w:top w:val="nil"/>
              <w:left w:val="nil"/>
              <w:bottom w:val="single" w:color="auto" w:sz="4" w:space="0"/>
              <w:right w:val="single" w:color="auto" w:sz="4" w:space="0"/>
            </w:tcBorders>
            <w:shd w:val="clear" w:color="000000" w:fill="FFFFFF"/>
            <w:vAlign w:val="center"/>
          </w:tcPr>
          <w:p>
            <w:pPr>
              <w:jc w:val="center"/>
            </w:pPr>
            <w:r>
              <w:rPr>
                <w:rFonts w:hint="eastAsia"/>
              </w:rPr>
              <w:t>紫外可见分光光度计</w:t>
            </w:r>
          </w:p>
        </w:tc>
      </w:tr>
      <w:tr>
        <w:tblPrEx>
          <w:tblCellMar>
            <w:top w:w="0" w:type="dxa"/>
            <w:left w:w="108" w:type="dxa"/>
            <w:bottom w:w="0" w:type="dxa"/>
            <w:right w:w="108" w:type="dxa"/>
          </w:tblCellMar>
        </w:tblPrEx>
        <w:trPr>
          <w:trHeight w:val="20" w:hRule="atLeast"/>
          <w:jc w:val="center"/>
        </w:trPr>
        <w:tc>
          <w:tcPr>
            <w:tcW w:w="802" w:type="dxa"/>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rPr>
              <w:t>9</w:t>
            </w:r>
          </w:p>
        </w:tc>
        <w:tc>
          <w:tcPr>
            <w:tcW w:w="1864" w:type="dxa"/>
            <w:tcBorders>
              <w:top w:val="nil"/>
              <w:left w:val="nil"/>
              <w:bottom w:val="single" w:color="auto" w:sz="4" w:space="0"/>
              <w:right w:val="single" w:color="auto" w:sz="4" w:space="0"/>
            </w:tcBorders>
            <w:shd w:val="clear" w:color="auto" w:fill="auto"/>
            <w:vAlign w:val="center"/>
          </w:tcPr>
          <w:p>
            <w:pPr>
              <w:jc w:val="center"/>
            </w:pPr>
            <w:r>
              <w:rPr>
                <w:rFonts w:hint="eastAsia"/>
              </w:rPr>
              <w:t>可倾式蒸煮锅</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20</w:t>
            </w:r>
          </w:p>
        </w:tc>
        <w:tc>
          <w:tcPr>
            <w:tcW w:w="2659" w:type="dxa"/>
            <w:tcBorders>
              <w:top w:val="nil"/>
              <w:left w:val="nil"/>
              <w:bottom w:val="single" w:color="auto" w:sz="4" w:space="0"/>
              <w:right w:val="single" w:color="auto" w:sz="4" w:space="0"/>
            </w:tcBorders>
            <w:shd w:val="clear" w:color="auto" w:fill="auto"/>
            <w:vAlign w:val="center"/>
          </w:tcPr>
          <w:p>
            <w:pPr>
              <w:jc w:val="center"/>
            </w:pPr>
            <w:r>
              <w:rPr>
                <w:rFonts w:hint="eastAsia"/>
              </w:rPr>
              <w:t>微波干燥箱</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31</w:t>
            </w:r>
          </w:p>
        </w:tc>
        <w:tc>
          <w:tcPr>
            <w:tcW w:w="2925" w:type="dxa"/>
            <w:tcBorders>
              <w:top w:val="nil"/>
              <w:left w:val="nil"/>
              <w:bottom w:val="single" w:color="auto" w:sz="4" w:space="0"/>
              <w:right w:val="single" w:color="auto" w:sz="4" w:space="0"/>
            </w:tcBorders>
            <w:shd w:val="clear" w:color="000000" w:fill="FFFFFF"/>
            <w:vAlign w:val="center"/>
          </w:tcPr>
          <w:p>
            <w:pPr>
              <w:jc w:val="center"/>
            </w:pPr>
            <w:r>
              <w:rPr>
                <w:rFonts w:hint="eastAsia"/>
              </w:rPr>
              <w:t>旋转蒸发器</w:t>
            </w:r>
          </w:p>
        </w:tc>
      </w:tr>
      <w:tr>
        <w:tblPrEx>
          <w:tblCellMar>
            <w:top w:w="0" w:type="dxa"/>
            <w:left w:w="108" w:type="dxa"/>
            <w:bottom w:w="0" w:type="dxa"/>
            <w:right w:w="108" w:type="dxa"/>
          </w:tblCellMar>
        </w:tblPrEx>
        <w:trPr>
          <w:trHeight w:val="20" w:hRule="atLeast"/>
          <w:jc w:val="center"/>
        </w:trPr>
        <w:tc>
          <w:tcPr>
            <w:tcW w:w="802" w:type="dxa"/>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rPr>
              <w:t>10</w:t>
            </w:r>
          </w:p>
        </w:tc>
        <w:tc>
          <w:tcPr>
            <w:tcW w:w="1864" w:type="dxa"/>
            <w:tcBorders>
              <w:top w:val="nil"/>
              <w:left w:val="nil"/>
              <w:bottom w:val="single" w:color="auto" w:sz="4" w:space="0"/>
              <w:right w:val="single" w:color="auto" w:sz="4" w:space="0"/>
            </w:tcBorders>
            <w:shd w:val="clear" w:color="auto" w:fill="auto"/>
            <w:vAlign w:val="center"/>
          </w:tcPr>
          <w:p>
            <w:pPr>
              <w:jc w:val="center"/>
            </w:pPr>
            <w:r>
              <w:rPr>
                <w:rFonts w:hint="eastAsia"/>
              </w:rPr>
              <w:t>热风循环烘箱</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21</w:t>
            </w:r>
          </w:p>
        </w:tc>
        <w:tc>
          <w:tcPr>
            <w:tcW w:w="2659" w:type="dxa"/>
            <w:tcBorders>
              <w:top w:val="nil"/>
              <w:left w:val="nil"/>
              <w:bottom w:val="single" w:color="auto" w:sz="4" w:space="0"/>
              <w:right w:val="single" w:color="auto" w:sz="4" w:space="0"/>
            </w:tcBorders>
            <w:shd w:val="clear" w:color="auto" w:fill="auto"/>
            <w:vAlign w:val="center"/>
          </w:tcPr>
          <w:p>
            <w:pPr>
              <w:jc w:val="center"/>
            </w:pPr>
            <w:r>
              <w:rPr>
                <w:rFonts w:hint="eastAsia"/>
              </w:rPr>
              <w:t>提取浓缩机组</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32</w:t>
            </w:r>
          </w:p>
        </w:tc>
        <w:tc>
          <w:tcPr>
            <w:tcW w:w="2925" w:type="dxa"/>
            <w:tcBorders>
              <w:top w:val="nil"/>
              <w:left w:val="nil"/>
              <w:bottom w:val="single" w:color="auto" w:sz="4" w:space="0"/>
              <w:right w:val="single" w:color="auto" w:sz="4" w:space="0"/>
            </w:tcBorders>
            <w:shd w:val="clear" w:color="000000" w:fill="FFFFFF"/>
            <w:vAlign w:val="center"/>
          </w:tcPr>
          <w:p>
            <w:pPr>
              <w:jc w:val="center"/>
            </w:pPr>
            <w:r>
              <w:rPr>
                <w:rFonts w:hint="eastAsia"/>
              </w:rPr>
              <w:t>超级恒温水浴</w:t>
            </w:r>
          </w:p>
        </w:tc>
      </w:tr>
      <w:tr>
        <w:tblPrEx>
          <w:tblCellMar>
            <w:top w:w="0" w:type="dxa"/>
            <w:left w:w="108" w:type="dxa"/>
            <w:bottom w:w="0" w:type="dxa"/>
            <w:right w:w="108" w:type="dxa"/>
          </w:tblCellMar>
        </w:tblPrEx>
        <w:trPr>
          <w:trHeight w:val="20" w:hRule="atLeast"/>
          <w:jc w:val="center"/>
        </w:trPr>
        <w:tc>
          <w:tcPr>
            <w:tcW w:w="802" w:type="dxa"/>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rPr>
              <w:t>11</w:t>
            </w:r>
          </w:p>
        </w:tc>
        <w:tc>
          <w:tcPr>
            <w:tcW w:w="1864" w:type="dxa"/>
            <w:tcBorders>
              <w:top w:val="nil"/>
              <w:left w:val="nil"/>
              <w:bottom w:val="single" w:color="auto" w:sz="4" w:space="0"/>
              <w:right w:val="single" w:color="auto" w:sz="4" w:space="0"/>
            </w:tcBorders>
            <w:shd w:val="clear" w:color="auto" w:fill="auto"/>
            <w:vAlign w:val="center"/>
          </w:tcPr>
          <w:p>
            <w:pPr>
              <w:jc w:val="center"/>
            </w:pPr>
            <w:r>
              <w:rPr>
                <w:rFonts w:hint="eastAsia"/>
              </w:rPr>
              <w:t>真空干燥箱</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22</w:t>
            </w:r>
          </w:p>
        </w:tc>
        <w:tc>
          <w:tcPr>
            <w:tcW w:w="2659" w:type="dxa"/>
            <w:tcBorders>
              <w:top w:val="nil"/>
              <w:left w:val="nil"/>
              <w:bottom w:val="single" w:color="auto" w:sz="4" w:space="0"/>
              <w:right w:val="single" w:color="auto" w:sz="4" w:space="0"/>
            </w:tcBorders>
            <w:shd w:val="clear" w:color="000000" w:fill="FFFFFF"/>
            <w:vAlign w:val="center"/>
          </w:tcPr>
          <w:p>
            <w:pPr>
              <w:jc w:val="center"/>
            </w:pPr>
            <w:r>
              <w:rPr>
                <w:rFonts w:hint="eastAsia"/>
              </w:rPr>
              <w:t>岛津电子天平</w:t>
            </w:r>
          </w:p>
        </w:tc>
        <w:tc>
          <w:tcPr>
            <w:tcW w:w="802" w:type="dxa"/>
            <w:tcBorders>
              <w:top w:val="nil"/>
              <w:left w:val="nil"/>
              <w:bottom w:val="single" w:color="auto" w:sz="4" w:space="0"/>
              <w:right w:val="single" w:color="auto" w:sz="4" w:space="0"/>
            </w:tcBorders>
            <w:shd w:val="clear" w:color="auto" w:fill="auto"/>
            <w:vAlign w:val="center"/>
          </w:tcPr>
          <w:p>
            <w:pPr>
              <w:jc w:val="center"/>
            </w:pPr>
            <w:r>
              <w:rPr>
                <w:rFonts w:hint="eastAsia"/>
              </w:rPr>
              <w:t>33</w:t>
            </w:r>
          </w:p>
        </w:tc>
        <w:tc>
          <w:tcPr>
            <w:tcW w:w="2925" w:type="dxa"/>
            <w:tcBorders>
              <w:top w:val="nil"/>
              <w:left w:val="nil"/>
              <w:bottom w:val="single" w:color="auto" w:sz="4" w:space="0"/>
              <w:right w:val="single" w:color="auto" w:sz="4" w:space="0"/>
            </w:tcBorders>
            <w:shd w:val="clear" w:color="000000" w:fill="FFFFFF"/>
            <w:vAlign w:val="center"/>
          </w:tcPr>
          <w:p>
            <w:pPr>
              <w:jc w:val="center"/>
            </w:pPr>
            <w:r>
              <w:rPr>
                <w:rFonts w:hint="eastAsia"/>
              </w:rPr>
              <w:t>循环水式真空泵</w:t>
            </w:r>
          </w:p>
        </w:tc>
      </w:tr>
    </w:tbl>
    <w:p>
      <w:pPr>
        <w:pStyle w:val="4"/>
        <w:spacing w:line="360" w:lineRule="auto"/>
        <w:ind w:firstLine="482" w:firstLineChars="200"/>
        <w:rPr>
          <w:rFonts w:ascii="宋体" w:hAnsi="宋体" w:eastAsia="宋体" w:cs="宋体"/>
          <w:sz w:val="24"/>
        </w:rPr>
      </w:pPr>
      <w:r>
        <w:rPr>
          <w:rFonts w:hint="eastAsia" w:ascii="宋体" w:hAnsi="宋体" w:eastAsia="宋体" w:cs="宋体"/>
          <w:sz w:val="24"/>
        </w:rPr>
        <w:t>2.实习、见习</w:t>
      </w:r>
    </w:p>
    <w:p>
      <w:pPr>
        <w:spacing w:line="360" w:lineRule="auto"/>
        <w:ind w:firstLine="480" w:firstLineChars="200"/>
        <w:rPr>
          <w:rFonts w:ascii="宋体" w:hAnsi="宋体" w:eastAsia="宋体" w:cs="宋体"/>
          <w:sz w:val="24"/>
        </w:rPr>
      </w:pPr>
      <w:r>
        <w:rPr>
          <w:rFonts w:hint="eastAsia" w:ascii="宋体" w:hAnsi="宋体" w:eastAsia="宋体" w:cs="宋体"/>
          <w:sz w:val="24"/>
        </w:rPr>
        <w:t>2.1具有稳定的校外实训基地</w:t>
      </w:r>
      <w:bookmarkStart w:id="12" w:name="_Toc521083042"/>
      <w:bookmarkStart w:id="13" w:name="_Toc525381625"/>
      <w:bookmarkStart w:id="14" w:name="_Toc521082842"/>
      <w:bookmarkStart w:id="15" w:name="_Toc527369372"/>
      <w:bookmarkStart w:id="16" w:name="_Toc525414586"/>
      <w:r>
        <w:rPr>
          <w:rFonts w:hint="eastAsia" w:ascii="宋体" w:hAnsi="宋体" w:eastAsia="宋体" w:cs="宋体"/>
          <w:sz w:val="24"/>
        </w:rPr>
        <w:t>。有药厂、药材种植基地、医药公司32间，均签订有协议，制定完善的实习制度并建立专门机构（实习办公室）管理实习，第五、六学期，安排学生在药厂中药饮片生产车间、提取车间、药材种植基地、医药公司等技术岗位实习，满足中药材生产与加工专业学生毕业实习的需要。</w:t>
      </w:r>
    </w:p>
    <w:bookmarkEnd w:id="12"/>
    <w:bookmarkEnd w:id="13"/>
    <w:bookmarkEnd w:id="14"/>
    <w:bookmarkEnd w:id="15"/>
    <w:bookmarkEnd w:id="16"/>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2.2毕业实习是实践教学的主要形式之一，是执行教学计划和课程大纲的关键环节。通过实习，培养学生良好的职业道德和职业能力，使学生具备就业所必需的能力和经历。实习中应有良好的交流、沟通能力，团队合作精神和良好的服务意识，达到专业培养目标的要求。</w:t>
      </w:r>
    </w:p>
    <w:p>
      <w:pPr>
        <w:spacing w:line="360" w:lineRule="auto"/>
        <w:ind w:firstLine="480" w:firstLineChars="200"/>
        <w:rPr>
          <w:rFonts w:ascii="宋体" w:hAnsi="宋体" w:eastAsia="宋体" w:cs="宋体"/>
          <w:sz w:val="24"/>
        </w:rPr>
      </w:pPr>
      <w:r>
        <w:rPr>
          <w:rFonts w:hint="eastAsia" w:ascii="宋体" w:hAnsi="宋体" w:eastAsia="宋体" w:cs="宋体"/>
          <w:sz w:val="24"/>
        </w:rPr>
        <w:t>根据中药材生产与加工专业岗位特点，经与实习单位协商，中药材生产与加工专业学生在进入顶岗实习前，可以安排相应时间的跟岗实习，以掌握相应岗位的技能后，经单位考核合格后再进行顶岗实习，具体安排如下：安排在第五、六学期进行，共40周，其中跟岗实习16周、顶岗实习24周。</w:t>
      </w:r>
    </w:p>
    <w:p>
      <w:pPr>
        <w:spacing w:line="360" w:lineRule="auto"/>
        <w:ind w:firstLine="480" w:firstLineChars="200"/>
        <w:rPr>
          <w:rFonts w:ascii="宋体" w:hAnsi="宋体" w:eastAsia="宋体" w:cs="宋体"/>
          <w:sz w:val="24"/>
        </w:rPr>
      </w:pPr>
      <w:r>
        <w:rPr>
          <w:rFonts w:hint="eastAsia" w:ascii="宋体" w:hAnsi="宋体" w:eastAsia="宋体" w:cs="宋体"/>
          <w:sz w:val="24"/>
        </w:rPr>
        <w:t>（1）跟岗实习16周：</w:t>
      </w:r>
    </w:p>
    <w:p>
      <w:pPr>
        <w:spacing w:line="360" w:lineRule="auto"/>
        <w:ind w:firstLine="480" w:firstLineChars="200"/>
        <w:rPr>
          <w:rFonts w:ascii="宋体" w:hAnsi="宋体" w:eastAsia="宋体" w:cs="宋体"/>
          <w:sz w:val="24"/>
        </w:rPr>
      </w:pPr>
      <w:r>
        <w:rPr>
          <w:rFonts w:hint="eastAsia" w:ascii="宋体" w:hAnsi="宋体" w:eastAsia="宋体" w:cs="宋体"/>
          <w:sz w:val="24"/>
        </w:rPr>
        <w:t>医药公司：中（成）药营销岗位4周，门店管理岗位4周，药品采购4周，仓库储存与养护岗位4周；</w:t>
      </w:r>
    </w:p>
    <w:p>
      <w:pPr>
        <w:spacing w:line="360" w:lineRule="auto"/>
        <w:ind w:firstLine="480" w:firstLineChars="200"/>
        <w:rPr>
          <w:rFonts w:ascii="宋体" w:hAnsi="宋体" w:eastAsia="宋体" w:cs="宋体"/>
          <w:sz w:val="24"/>
        </w:rPr>
      </w:pPr>
      <w:r>
        <w:rPr>
          <w:rFonts w:hint="eastAsia" w:ascii="宋体" w:hAnsi="宋体" w:eastAsia="宋体" w:cs="宋体"/>
          <w:sz w:val="24"/>
        </w:rPr>
        <w:t>药厂：中药提取生产岗位4周，固体制剂生产岗位4周，质量管理岗位4周，包装岗位4周；</w:t>
      </w:r>
    </w:p>
    <w:p>
      <w:pPr>
        <w:spacing w:line="360" w:lineRule="auto"/>
        <w:ind w:firstLine="480" w:firstLineChars="200"/>
        <w:rPr>
          <w:rFonts w:ascii="宋体" w:hAnsi="宋体" w:eastAsia="宋体" w:cs="宋体"/>
          <w:sz w:val="24"/>
        </w:rPr>
      </w:pPr>
      <w:r>
        <w:rPr>
          <w:rFonts w:hint="eastAsia" w:ascii="宋体" w:hAnsi="宋体" w:eastAsia="宋体" w:cs="宋体"/>
          <w:sz w:val="24"/>
        </w:rPr>
        <w:t>医院药剂科：药房调剂8周，药库8周；</w:t>
      </w:r>
    </w:p>
    <w:p>
      <w:pPr>
        <w:spacing w:line="360" w:lineRule="auto"/>
        <w:ind w:firstLine="480" w:firstLineChars="200"/>
        <w:rPr>
          <w:rFonts w:ascii="宋体" w:hAnsi="宋体" w:eastAsia="宋体" w:cs="宋体"/>
          <w:sz w:val="24"/>
        </w:rPr>
      </w:pPr>
      <w:r>
        <w:rPr>
          <w:rFonts w:hint="eastAsia" w:ascii="宋体" w:hAnsi="宋体" w:eastAsia="宋体" w:cs="宋体"/>
          <w:sz w:val="24"/>
        </w:rPr>
        <w:t xml:space="preserve">中药饮片厂：中药前处理与中药切制4周，中药炮制加工8周，包装岗位4周。      </w:t>
      </w:r>
    </w:p>
    <w:p>
      <w:pPr>
        <w:spacing w:line="360" w:lineRule="auto"/>
        <w:ind w:firstLine="480" w:firstLineChars="200"/>
        <w:rPr>
          <w:rFonts w:ascii="宋体" w:hAnsi="宋体" w:eastAsia="宋体" w:cs="宋体"/>
          <w:sz w:val="24"/>
        </w:rPr>
      </w:pPr>
      <w:r>
        <w:rPr>
          <w:rFonts w:hint="eastAsia" w:ascii="宋体" w:hAnsi="宋体" w:eastAsia="宋体" w:cs="宋体"/>
          <w:sz w:val="24"/>
        </w:rPr>
        <w:t>（2）顶岗实习24周：</w:t>
      </w:r>
    </w:p>
    <w:p>
      <w:pPr>
        <w:spacing w:line="360" w:lineRule="auto"/>
        <w:ind w:firstLine="480" w:firstLineChars="200"/>
        <w:rPr>
          <w:rFonts w:ascii="宋体" w:hAnsi="宋体" w:eastAsia="宋体" w:cs="宋体"/>
          <w:sz w:val="24"/>
        </w:rPr>
      </w:pPr>
      <w:r>
        <w:rPr>
          <w:rFonts w:hint="eastAsia" w:ascii="宋体" w:hAnsi="宋体" w:eastAsia="宋体" w:cs="宋体"/>
          <w:sz w:val="24"/>
        </w:rPr>
        <w:t>医药公司：中（成）药营销岗位6周，中药质量控制与检验岗位4周，门店管理岗位4周，药品采购6周，仓库储存与养护岗位4周；</w:t>
      </w:r>
    </w:p>
    <w:p>
      <w:pPr>
        <w:spacing w:line="360" w:lineRule="auto"/>
        <w:ind w:firstLine="480" w:firstLineChars="200"/>
        <w:rPr>
          <w:rFonts w:ascii="宋体" w:hAnsi="宋体" w:eastAsia="宋体" w:cs="宋体"/>
          <w:sz w:val="24"/>
        </w:rPr>
      </w:pPr>
      <w:r>
        <w:rPr>
          <w:rFonts w:hint="eastAsia" w:ascii="宋体" w:hAnsi="宋体" w:eastAsia="宋体" w:cs="宋体"/>
          <w:sz w:val="24"/>
        </w:rPr>
        <w:t>药厂：中药提取生产岗位8周，固体制剂生产岗位8周，质量管理岗位4周，包装岗位4周；</w:t>
      </w:r>
    </w:p>
    <w:p>
      <w:pPr>
        <w:spacing w:line="360" w:lineRule="auto"/>
        <w:ind w:firstLine="480" w:firstLineChars="200"/>
        <w:rPr>
          <w:rFonts w:ascii="宋体" w:hAnsi="宋体" w:eastAsia="宋体" w:cs="宋体"/>
          <w:sz w:val="24"/>
        </w:rPr>
      </w:pPr>
      <w:r>
        <w:rPr>
          <w:rFonts w:hint="eastAsia" w:ascii="宋体" w:hAnsi="宋体" w:eastAsia="宋体" w:cs="宋体"/>
          <w:sz w:val="24"/>
        </w:rPr>
        <w:t>医院药剂科：药房调剂20周，药库4周；</w:t>
      </w:r>
    </w:p>
    <w:p>
      <w:pPr>
        <w:spacing w:line="360" w:lineRule="auto"/>
        <w:ind w:firstLine="480" w:firstLineChars="200"/>
        <w:rPr>
          <w:rFonts w:ascii="宋体" w:hAnsi="宋体" w:eastAsia="宋体" w:cs="宋体"/>
          <w:sz w:val="24"/>
        </w:rPr>
      </w:pPr>
      <w:r>
        <w:rPr>
          <w:rFonts w:hint="eastAsia" w:ascii="宋体" w:hAnsi="宋体" w:eastAsia="宋体" w:cs="宋体"/>
          <w:sz w:val="24"/>
        </w:rPr>
        <w:t>中药饮片厂：中药前处理与中药切制8周，中药炮制加工8周，包装岗位4周，质量管理岗位4周。</w:t>
      </w:r>
    </w:p>
    <w:p>
      <w:pPr>
        <w:spacing w:line="360" w:lineRule="auto"/>
        <w:ind w:firstLine="480" w:firstLineChars="200"/>
        <w:rPr>
          <w:rFonts w:ascii="宋体" w:hAnsi="宋体" w:eastAsia="宋体" w:cs="宋体"/>
          <w:sz w:val="24"/>
        </w:rPr>
      </w:pPr>
      <w:r>
        <w:rPr>
          <w:rFonts w:hint="eastAsia" w:ascii="宋体" w:hAnsi="宋体" w:eastAsia="宋体" w:cs="宋体"/>
          <w:sz w:val="24"/>
        </w:rPr>
        <w:t>以上可以根据就业岗位调整。</w:t>
      </w:r>
    </w:p>
    <w:p>
      <w:pPr>
        <w:spacing w:line="360" w:lineRule="auto"/>
        <w:ind w:firstLine="482" w:firstLineChars="200"/>
        <w:rPr>
          <w:rFonts w:ascii="宋体" w:hAnsi="宋体" w:eastAsia="宋体" w:cs="宋体"/>
          <w:sz w:val="24"/>
        </w:rPr>
      </w:pPr>
      <w:r>
        <w:rPr>
          <w:rFonts w:hint="eastAsia" w:ascii="宋体" w:hAnsi="宋体" w:eastAsia="宋体" w:cs="宋体"/>
          <w:b/>
          <w:bCs/>
          <w:sz w:val="24"/>
        </w:rPr>
        <w:t>（三）教学资源</w:t>
      </w:r>
    </w:p>
    <w:p>
      <w:pPr>
        <w:pStyle w:val="3"/>
        <w:spacing w:line="360" w:lineRule="auto"/>
        <w:ind w:firstLine="480" w:firstLineChars="200"/>
        <w:rPr>
          <w:rFonts w:ascii="宋体" w:hAnsi="宋体" w:eastAsia="宋体" w:cs="宋体"/>
          <w:b w:val="0"/>
          <w:bCs w:val="0"/>
          <w:sz w:val="24"/>
          <w:szCs w:val="24"/>
        </w:rPr>
      </w:pPr>
      <w:r>
        <w:rPr>
          <w:rFonts w:hint="eastAsia" w:ascii="宋体" w:hAnsi="宋体" w:eastAsia="宋体" w:cs="宋体"/>
          <w:b w:val="0"/>
          <w:bCs w:val="0"/>
          <w:sz w:val="24"/>
          <w:szCs w:val="24"/>
        </w:rPr>
        <w:t>依托职教云教学平台，搭建多门专业基础课及专业核心课程，保证学生能在课前预习、课中学习及课后复习，同进探索线上线下混合式教学模式并最终实现终身学习的目标。</w:t>
      </w:r>
    </w:p>
    <w:p>
      <w:pPr>
        <w:pStyle w:val="3"/>
        <w:spacing w:line="360" w:lineRule="auto"/>
        <w:ind w:firstLine="482" w:firstLineChars="200"/>
        <w:rPr>
          <w:rFonts w:ascii="宋体" w:hAnsi="宋体" w:eastAsia="宋体" w:cs="宋体"/>
          <w:sz w:val="24"/>
          <w:szCs w:val="24"/>
        </w:rPr>
      </w:pPr>
      <w:r>
        <w:rPr>
          <w:rFonts w:hint="eastAsia" w:ascii="宋体" w:hAnsi="宋体" w:eastAsia="宋体" w:cs="宋体"/>
          <w:sz w:val="24"/>
          <w:szCs w:val="24"/>
        </w:rPr>
        <w:t>（四）教学方法</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本专业教师根据高职教育和医药行业的特点，充分利用药用植物园、中药炮制设备实训室、中药材种植基地等校内外实训基地，在药用植物栽培技术、中药炮制技术等课程的具体教学过程中大量采用项目教学法、小组技术比拼、技能训练、情景教学等方法，融“教、学、做”为一体，取得了很好的效果，形成明显特色的教学方法有：</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1.项目教学法：教师布置项目任务→引导学生学习必要的相关知识→学生查阅资料→完成设计方案→教师指导下实施方案并进行考核→整理记录和完成实训报告→综合考核和评分，学生通过查阅资料、设计实施方案，提高了自主学习的能力和积极性。</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2.仿真技能训练：即主要专业课在药用植物园、中药炮制设备实训室、精密仪器室等一体化训室中进行，教师“边讲边演示”，学生“边学边练”，“教、学、做”为一体，有效地提高了专业技能训练的效果。</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3.小组技术比拼法：有些教学内容如种子的萌发，中药材加工等采用小组技术比拼法进行教学，学生以小组为单位，进行方案设计、材料准备、陈列摆放，小组解说，老师点评，得出比拼结果。通过比拼加强了团队协作及与人沟通的能力，启迪了学生的思维，强化了职业技能，取得了良好的教学效果。</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4.情景教学法：部分专业课程组织学生到行业企业进行现场教学，行业企业专家在真实的工作情景中边讲、边示范，学生边听边实操，使学生置身真实的工作环境中学习，提高了学生对行业企业的认识，激发了他们学习的兴趣，也有效地提高了学生的专业技能。</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5.专题讲座及授课：邀请行业一线人员，对师生进行专业知识、技术新进展、职业素养培养等问题的专题讲座，增强学生的学习兴趣，调动学习积极性培养综合素质和能力。</w:t>
      </w:r>
    </w:p>
    <w:p>
      <w:pPr>
        <w:pStyle w:val="3"/>
        <w:spacing w:line="360" w:lineRule="auto"/>
        <w:ind w:firstLine="482" w:firstLineChars="200"/>
        <w:rPr>
          <w:rFonts w:ascii="宋体" w:hAnsi="宋体" w:eastAsia="宋体" w:cs="宋体"/>
          <w:sz w:val="24"/>
          <w:szCs w:val="24"/>
        </w:rPr>
      </w:pPr>
      <w:r>
        <w:rPr>
          <w:rFonts w:hint="eastAsia" w:ascii="宋体" w:hAnsi="宋体" w:eastAsia="宋体" w:cs="宋体"/>
          <w:sz w:val="24"/>
          <w:szCs w:val="24"/>
        </w:rPr>
        <w:t>（五）教学评价</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1.课程考核：将各课程考核方式分为两部分，一是形成性考核，占科目总成绩的40%，包括：平时作业、课堂考勤、学习态度、平时理论和技能考核等；二是终结性考核，占科目总成绩的60%，包括：期末理论考核、期末技能考核。</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2.实习考核：以实习单位为主，主要考核学生实习中的岗位职业能力、职业态度、团结协作、人际沟通能力等。</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3.评价：建立了较完善的教学质量保证和监控机制，教学秩序良好。通过巡课、听课、召开师生座谈会、教师评学、学生评教等活动，采取学生、同行、督导小组三层次评教，形成了科学的评教运行机制。</w:t>
      </w:r>
    </w:p>
    <w:p>
      <w:pPr>
        <w:pStyle w:val="3"/>
        <w:spacing w:line="360" w:lineRule="auto"/>
        <w:ind w:firstLine="482" w:firstLineChars="200"/>
        <w:rPr>
          <w:rFonts w:ascii="宋体" w:hAnsi="宋体" w:eastAsia="宋体" w:cs="宋体"/>
          <w:sz w:val="24"/>
          <w:szCs w:val="24"/>
        </w:rPr>
      </w:pPr>
      <w:r>
        <w:rPr>
          <w:rFonts w:hint="eastAsia" w:ascii="宋体" w:hAnsi="宋体" w:eastAsia="宋体" w:cs="宋体"/>
          <w:sz w:val="24"/>
          <w:szCs w:val="24"/>
        </w:rPr>
        <w:t>（六）质量管理</w:t>
      </w:r>
    </w:p>
    <w:p>
      <w:pPr>
        <w:spacing w:line="360" w:lineRule="auto"/>
        <w:ind w:firstLine="480" w:firstLineChars="200"/>
        <w:rPr>
          <w:rFonts w:ascii="宋体" w:hAnsi="宋体" w:eastAsia="宋体" w:cs="宋体"/>
          <w:sz w:val="24"/>
        </w:rPr>
      </w:pPr>
      <w:r>
        <w:rPr>
          <w:rFonts w:hint="eastAsia" w:ascii="宋体" w:hAnsi="宋体" w:eastAsia="宋体" w:cs="宋体"/>
          <w:sz w:val="24"/>
        </w:rPr>
        <w:t>教学管理要更新观念，为课程改革、教与学实施创造条件；要加强对教学过程的质量监控，促进教师教学能力的提升，保证教学质量。</w:t>
      </w:r>
    </w:p>
    <w:p>
      <w:pPr>
        <w:spacing w:line="360" w:lineRule="auto"/>
        <w:ind w:firstLine="480" w:firstLineChars="200"/>
        <w:rPr>
          <w:rFonts w:ascii="宋体" w:hAnsi="宋体" w:eastAsia="宋体" w:cs="宋体"/>
          <w:sz w:val="24"/>
        </w:rPr>
      </w:pPr>
      <w:r>
        <w:rPr>
          <w:rFonts w:hint="eastAsia" w:ascii="宋体" w:hAnsi="宋体" w:eastAsia="宋体" w:cs="宋体"/>
          <w:sz w:val="24"/>
        </w:rPr>
        <w:t>1.成立由行业专家、职业教育专家、教师及教学管理人员组成的专业建设和教学指导委员会，进行整体教育教学指导。</w:t>
      </w:r>
    </w:p>
    <w:p>
      <w:pPr>
        <w:spacing w:line="360" w:lineRule="auto"/>
        <w:ind w:firstLine="480" w:firstLineChars="200"/>
        <w:rPr>
          <w:rFonts w:ascii="宋体" w:hAnsi="宋体" w:eastAsia="宋体" w:cs="宋体"/>
          <w:sz w:val="24"/>
        </w:rPr>
      </w:pPr>
      <w:r>
        <w:rPr>
          <w:rFonts w:hint="eastAsia" w:ascii="宋体" w:hAnsi="宋体" w:eastAsia="宋体" w:cs="宋体"/>
          <w:sz w:val="24"/>
        </w:rPr>
        <w:t>2.教学管理工作应在规范性与灵活性的原则下，结合学校实际教学资源，体现专业特点，保证“教学做”三者相结合，提高教学效果。为实现学生的早接触实际工作、多接触实际工作，应合理安排课程，调配教师，组织与管理好教学，提高校内实训室课内外的使用效率，积极与校外实训基地协调合作，完成见习、实习计划。</w:t>
      </w:r>
    </w:p>
    <w:p>
      <w:pPr>
        <w:spacing w:line="360" w:lineRule="auto"/>
        <w:ind w:firstLine="480" w:firstLineChars="200"/>
        <w:rPr>
          <w:rFonts w:ascii="宋体" w:hAnsi="宋体" w:eastAsia="宋体" w:cs="宋体"/>
          <w:sz w:val="24"/>
        </w:rPr>
      </w:pPr>
      <w:r>
        <w:rPr>
          <w:rFonts w:hint="eastAsia" w:ascii="宋体" w:hAnsi="宋体" w:eastAsia="宋体" w:cs="宋体"/>
          <w:sz w:val="24"/>
        </w:rPr>
        <w:t>3.聘请中级以上职称的行业专家参与课程建设与教学活动，共同保证本标准的实施质量。</w:t>
      </w:r>
    </w:p>
    <w:p>
      <w:pPr>
        <w:spacing w:line="360" w:lineRule="auto"/>
        <w:ind w:firstLine="480" w:firstLineChars="200"/>
        <w:rPr>
          <w:rFonts w:ascii="宋体" w:hAnsi="宋体" w:eastAsia="宋体" w:cs="宋体"/>
          <w:sz w:val="24"/>
        </w:rPr>
      </w:pPr>
      <w:r>
        <w:rPr>
          <w:rFonts w:hint="eastAsia" w:ascii="宋体" w:hAnsi="宋体" w:eastAsia="宋体" w:cs="宋体"/>
          <w:sz w:val="24"/>
        </w:rPr>
        <w:t>4.建立教学质量监控与教科研体系，设立教学督导与教研管理机构，加强对教学过程的质量监控，改革教学评价的标准和方法，针对教学过程中的问题进行探索和研究，促进教师教学能力和科研水平的提升，保证教学质量。</w:t>
      </w:r>
    </w:p>
    <w:p>
      <w:pPr>
        <w:pStyle w:val="2"/>
        <w:spacing w:line="360" w:lineRule="auto"/>
        <w:ind w:firstLine="0"/>
        <w:rPr>
          <w:rFonts w:ascii="宋体" w:hAnsi="宋体" w:eastAsia="宋体" w:cs="宋体"/>
          <w:sz w:val="24"/>
          <w:szCs w:val="24"/>
        </w:rPr>
      </w:pPr>
      <w:bookmarkStart w:id="17" w:name="_Toc521082843"/>
      <w:bookmarkStart w:id="18" w:name="_Toc525381626"/>
      <w:bookmarkStart w:id="19" w:name="_Toc521083043"/>
      <w:bookmarkStart w:id="20" w:name="_Toc525414587"/>
      <w:bookmarkStart w:id="21" w:name="_Toc527369373"/>
      <w:r>
        <w:rPr>
          <w:rFonts w:hint="eastAsia" w:ascii="宋体" w:hAnsi="宋体" w:eastAsia="宋体" w:cs="宋体"/>
          <w:sz w:val="24"/>
          <w:szCs w:val="24"/>
        </w:rPr>
        <w:t>九、毕业要求</w:t>
      </w:r>
    </w:p>
    <w:bookmarkEnd w:id="17"/>
    <w:bookmarkEnd w:id="18"/>
    <w:bookmarkEnd w:id="19"/>
    <w:bookmarkEnd w:id="20"/>
    <w:bookmarkEnd w:id="21"/>
    <w:p>
      <w:pPr>
        <w:pStyle w:val="11"/>
        <w:spacing w:line="360" w:lineRule="auto"/>
        <w:ind w:firstLine="480" w:firstLineChars="200"/>
        <w:rPr>
          <w:rFonts w:ascii="宋体" w:hAnsi="宋体" w:eastAsia="宋体" w:cs="宋体"/>
          <w:b/>
          <w:sz w:val="24"/>
        </w:rPr>
      </w:pPr>
      <w:r>
        <w:rPr>
          <w:rFonts w:hint="eastAsia" w:ascii="宋体" w:hAnsi="宋体" w:eastAsia="宋体" w:cs="宋体"/>
          <w:bCs/>
          <w:sz w:val="24"/>
        </w:rPr>
        <w:t>1.修</w:t>
      </w:r>
      <w:r>
        <w:rPr>
          <w:rFonts w:hint="eastAsia" w:ascii="宋体" w:hAnsi="宋体" w:eastAsia="宋体" w:cs="宋体"/>
          <w:sz w:val="24"/>
        </w:rPr>
        <w:t>满本专业规定的学分，完成了规定的教学环节，符合国家教育部、广东省教育厅及学院对大专学历管理的要求，授予国家全日制普通高等教育专科学历证书。</w:t>
      </w:r>
    </w:p>
    <w:p>
      <w:pPr>
        <w:pStyle w:val="11"/>
        <w:spacing w:line="360" w:lineRule="auto"/>
        <w:ind w:firstLine="480" w:firstLineChars="200"/>
        <w:rPr>
          <w:rFonts w:ascii="宋体" w:hAnsi="宋体" w:eastAsia="宋体" w:cs="宋体"/>
          <w:sz w:val="24"/>
          <w:lang w:val="zh-CN"/>
        </w:rPr>
      </w:pPr>
      <w:r>
        <w:rPr>
          <w:rFonts w:hint="eastAsia" w:ascii="宋体" w:hAnsi="宋体" w:eastAsia="宋体" w:cs="宋体"/>
          <w:sz w:val="24"/>
        </w:rPr>
        <w:t>2.学分计算方法：</w:t>
      </w:r>
      <w:r>
        <w:rPr>
          <w:rFonts w:hint="eastAsia" w:ascii="宋体" w:hAnsi="宋体" w:eastAsia="宋体" w:cs="宋体"/>
          <w:sz w:val="24"/>
          <w:lang w:val="zh-CN"/>
        </w:rPr>
        <w:t>每学科每</w:t>
      </w:r>
      <w:r>
        <w:rPr>
          <w:rFonts w:hint="eastAsia" w:ascii="宋体" w:hAnsi="宋体" w:eastAsia="宋体" w:cs="宋体"/>
          <w:sz w:val="24"/>
        </w:rPr>
        <w:t>16</w:t>
      </w:r>
      <w:r>
        <w:rPr>
          <w:rFonts w:hint="eastAsia" w:ascii="宋体" w:hAnsi="宋体" w:eastAsia="宋体" w:cs="宋体"/>
          <w:sz w:val="24"/>
          <w:lang w:val="zh-CN"/>
        </w:rPr>
        <w:t>学时计1学分，其中必修课程</w:t>
      </w:r>
      <w:r>
        <w:rPr>
          <w:rFonts w:hint="eastAsia" w:ascii="宋体" w:hAnsi="宋体" w:eastAsia="宋体" w:cs="宋体"/>
          <w:sz w:val="24"/>
        </w:rPr>
        <w:t>82</w:t>
      </w:r>
      <w:r>
        <w:rPr>
          <w:rFonts w:hint="eastAsia" w:ascii="宋体" w:hAnsi="宋体" w:eastAsia="宋体" w:cs="宋体"/>
          <w:sz w:val="24"/>
          <w:lang w:val="zh-CN"/>
        </w:rPr>
        <w:t>学分，选修课</w:t>
      </w:r>
      <w:r>
        <w:rPr>
          <w:rFonts w:hint="eastAsia" w:ascii="宋体" w:hAnsi="宋体" w:eastAsia="宋体" w:cs="宋体"/>
          <w:sz w:val="24"/>
        </w:rPr>
        <w:t>18</w:t>
      </w:r>
      <w:r>
        <w:rPr>
          <w:rFonts w:hint="eastAsia" w:ascii="宋体" w:hAnsi="宋体" w:eastAsia="宋体" w:cs="宋体"/>
          <w:sz w:val="24"/>
          <w:lang w:val="zh-CN"/>
        </w:rPr>
        <w:t>学分，毕业实习一学年安排</w:t>
      </w:r>
      <w:r>
        <w:rPr>
          <w:rFonts w:hint="eastAsia" w:ascii="宋体" w:hAnsi="宋体" w:eastAsia="宋体" w:cs="宋体"/>
          <w:sz w:val="24"/>
        </w:rPr>
        <w:t>40</w:t>
      </w:r>
      <w:r>
        <w:rPr>
          <w:rFonts w:hint="eastAsia" w:ascii="宋体" w:hAnsi="宋体" w:eastAsia="宋体" w:cs="宋体"/>
          <w:sz w:val="24"/>
          <w:lang w:val="zh-CN"/>
        </w:rPr>
        <w:t>周实习，一周1学分，共</w:t>
      </w:r>
      <w:r>
        <w:rPr>
          <w:rFonts w:hint="eastAsia" w:ascii="宋体" w:hAnsi="宋体" w:eastAsia="宋体" w:cs="宋体"/>
          <w:sz w:val="24"/>
        </w:rPr>
        <w:t>40</w:t>
      </w:r>
      <w:r>
        <w:rPr>
          <w:rFonts w:hint="eastAsia" w:ascii="宋体" w:hAnsi="宋体" w:eastAsia="宋体" w:cs="宋体"/>
          <w:sz w:val="24"/>
          <w:lang w:val="zh-CN"/>
        </w:rPr>
        <w:t>学分。</w:t>
      </w:r>
    </w:p>
    <w:p>
      <w:pPr>
        <w:pStyle w:val="11"/>
        <w:spacing w:line="360" w:lineRule="auto"/>
        <w:rPr>
          <w:rFonts w:ascii="宋体" w:hAnsi="宋体" w:eastAsia="宋体" w:cs="宋体"/>
          <w:b/>
          <w:bCs/>
          <w:sz w:val="24"/>
        </w:rPr>
      </w:pPr>
      <w:r>
        <w:rPr>
          <w:rFonts w:hint="eastAsia" w:ascii="宋体" w:hAnsi="宋体" w:eastAsia="宋体" w:cs="宋体"/>
          <w:b/>
          <w:bCs/>
          <w:sz w:val="24"/>
        </w:rPr>
        <w:t>十、附录</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教学进程表及说明。</w:t>
      </w:r>
    </w:p>
    <w:p>
      <w:pPr>
        <w:adjustRightInd w:val="0"/>
        <w:snapToGrid w:val="0"/>
        <w:spacing w:line="360" w:lineRule="auto"/>
        <w:ind w:firstLine="480" w:firstLineChars="200"/>
        <w:rPr>
          <w:rFonts w:ascii="宋体" w:hAnsi="宋体" w:eastAsia="宋体" w:cs="宋体"/>
          <w:sz w:val="24"/>
        </w:rPr>
      </w:pPr>
    </w:p>
    <w:p>
      <w:pPr>
        <w:adjustRightInd w:val="0"/>
        <w:snapToGrid w:val="0"/>
        <w:spacing w:line="360" w:lineRule="auto"/>
        <w:ind w:firstLine="420" w:firstLineChars="200"/>
        <w:rPr>
          <w:rFonts w:ascii="宋体" w:hAnsi="宋体" w:eastAsia="宋体" w:cs="宋体"/>
          <w:sz w:val="24"/>
        </w:rPr>
      </w:pPr>
      <w:r>
        <w:drawing>
          <wp:anchor distT="0" distB="0" distL="114300" distR="114300" simplePos="0" relativeHeight="251659264" behindDoc="0" locked="0" layoutInCell="1" allowOverlap="1">
            <wp:simplePos x="0" y="0"/>
            <wp:positionH relativeFrom="column">
              <wp:posOffset>-57150</wp:posOffset>
            </wp:positionH>
            <wp:positionV relativeFrom="page">
              <wp:posOffset>885825</wp:posOffset>
            </wp:positionV>
            <wp:extent cx="6114415" cy="8721725"/>
            <wp:effectExtent l="0" t="0" r="635" b="317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114415" cy="8721725"/>
                    </a:xfrm>
                    <a:prstGeom prst="rect">
                      <a:avLst/>
                    </a:prstGeom>
                    <a:noFill/>
                    <a:ln>
                      <a:noFill/>
                    </a:ln>
                  </pic:spPr>
                </pic:pic>
              </a:graphicData>
            </a:graphic>
          </wp:anchor>
        </w:drawing>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02651"/>
    <w:rsid w:val="00273AA9"/>
    <w:rsid w:val="002F6FC3"/>
    <w:rsid w:val="003A775B"/>
    <w:rsid w:val="006858FB"/>
    <w:rsid w:val="008244CC"/>
    <w:rsid w:val="0092060E"/>
    <w:rsid w:val="00A02651"/>
    <w:rsid w:val="00EB7851"/>
    <w:rsid w:val="01522FB6"/>
    <w:rsid w:val="02BF78B9"/>
    <w:rsid w:val="04552E49"/>
    <w:rsid w:val="055E00C7"/>
    <w:rsid w:val="05EC76F5"/>
    <w:rsid w:val="0639058C"/>
    <w:rsid w:val="06CE6795"/>
    <w:rsid w:val="082500AC"/>
    <w:rsid w:val="08DB2F92"/>
    <w:rsid w:val="09CC31F2"/>
    <w:rsid w:val="0ADC7606"/>
    <w:rsid w:val="0B6F1828"/>
    <w:rsid w:val="0D3B2936"/>
    <w:rsid w:val="102C18A8"/>
    <w:rsid w:val="104E5841"/>
    <w:rsid w:val="12F67E87"/>
    <w:rsid w:val="17307864"/>
    <w:rsid w:val="184B7ECE"/>
    <w:rsid w:val="1AF77CE5"/>
    <w:rsid w:val="1AF83F01"/>
    <w:rsid w:val="1F706F47"/>
    <w:rsid w:val="204F07B8"/>
    <w:rsid w:val="21075AED"/>
    <w:rsid w:val="226858CB"/>
    <w:rsid w:val="22E74AB8"/>
    <w:rsid w:val="22FC0CFE"/>
    <w:rsid w:val="271507D7"/>
    <w:rsid w:val="2A1F3F65"/>
    <w:rsid w:val="2AE6134B"/>
    <w:rsid w:val="2B4231CA"/>
    <w:rsid w:val="2C841719"/>
    <w:rsid w:val="2D3A3365"/>
    <w:rsid w:val="3597647A"/>
    <w:rsid w:val="370B1426"/>
    <w:rsid w:val="384B4DB2"/>
    <w:rsid w:val="3BCC2D8B"/>
    <w:rsid w:val="3D5A4FFB"/>
    <w:rsid w:val="3EDD7CDE"/>
    <w:rsid w:val="3EFD49EF"/>
    <w:rsid w:val="3FF15EF6"/>
    <w:rsid w:val="41117635"/>
    <w:rsid w:val="42FD488D"/>
    <w:rsid w:val="437D077D"/>
    <w:rsid w:val="453F3CD8"/>
    <w:rsid w:val="454B33EB"/>
    <w:rsid w:val="479702B3"/>
    <w:rsid w:val="49720EB4"/>
    <w:rsid w:val="49844D36"/>
    <w:rsid w:val="4E637BCC"/>
    <w:rsid w:val="50F578D9"/>
    <w:rsid w:val="526108F0"/>
    <w:rsid w:val="526924E6"/>
    <w:rsid w:val="528C00F9"/>
    <w:rsid w:val="54695B2A"/>
    <w:rsid w:val="583535A1"/>
    <w:rsid w:val="5A7A653A"/>
    <w:rsid w:val="5B0C3404"/>
    <w:rsid w:val="5DBD34A7"/>
    <w:rsid w:val="5F2C35C9"/>
    <w:rsid w:val="60D073EA"/>
    <w:rsid w:val="61322B21"/>
    <w:rsid w:val="62595AA0"/>
    <w:rsid w:val="64750597"/>
    <w:rsid w:val="66941E8C"/>
    <w:rsid w:val="67AD4F13"/>
    <w:rsid w:val="68FF29BF"/>
    <w:rsid w:val="6A1D7E7C"/>
    <w:rsid w:val="6A7542E0"/>
    <w:rsid w:val="6AD9304D"/>
    <w:rsid w:val="6D5B7885"/>
    <w:rsid w:val="6EE837EC"/>
    <w:rsid w:val="734E3440"/>
    <w:rsid w:val="73FB5DE4"/>
    <w:rsid w:val="7B980600"/>
    <w:rsid w:val="7D366D8C"/>
    <w:rsid w:val="7D93272E"/>
    <w:rsid w:val="7E9047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9"/>
    <w:pPr>
      <w:keepNext/>
      <w:keepLines/>
      <w:ind w:firstLine="482"/>
      <w:outlineLvl w:val="0"/>
    </w:pPr>
    <w:rPr>
      <w:b/>
      <w:bCs/>
      <w:kern w:val="44"/>
      <w:szCs w:val="44"/>
    </w:rPr>
  </w:style>
  <w:style w:type="paragraph" w:styleId="3">
    <w:name w:val="heading 2"/>
    <w:basedOn w:val="1"/>
    <w:next w:val="1"/>
    <w:qFormat/>
    <w:uiPriority w:val="0"/>
    <w:pPr>
      <w:keepNext/>
      <w:keepLines/>
      <w:outlineLvl w:val="1"/>
    </w:pPr>
    <w:rPr>
      <w:b/>
      <w:bCs/>
      <w:szCs w:val="32"/>
    </w:rPr>
  </w:style>
  <w:style w:type="paragraph" w:styleId="4">
    <w:name w:val="heading 3"/>
    <w:basedOn w:val="1"/>
    <w:next w:val="1"/>
    <w:qFormat/>
    <w:uiPriority w:val="0"/>
    <w:pPr>
      <w:keepNext/>
      <w:keepLines/>
      <w:outlineLvl w:val="2"/>
    </w:pPr>
    <w:rPr>
      <w:b/>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4"/>
    <w:qFormat/>
    <w:uiPriority w:val="0"/>
    <w:rPr>
      <w:sz w:val="18"/>
      <w:szCs w:val="18"/>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10">
    <w:name w:val="List Paragraph"/>
    <w:basedOn w:val="1"/>
    <w:qFormat/>
    <w:uiPriority w:val="99"/>
    <w:pPr>
      <w:ind w:firstLine="420" w:firstLineChars="200"/>
    </w:pPr>
  </w:style>
  <w:style w:type="paragraph" w:customStyle="1" w:styleId="11">
    <w:name w:val="正文2"/>
    <w:basedOn w:val="1"/>
    <w:qFormat/>
    <w:uiPriority w:val="0"/>
  </w:style>
  <w:style w:type="character" w:customStyle="1" w:styleId="12">
    <w:name w:val="页眉 Char"/>
    <w:basedOn w:val="9"/>
    <w:link w:val="7"/>
    <w:qFormat/>
    <w:uiPriority w:val="0"/>
    <w:rPr>
      <w:rFonts w:asciiTheme="minorHAnsi" w:hAnsiTheme="minorHAnsi" w:eastAsiaTheme="minorEastAsia" w:cstheme="minorBidi"/>
      <w:kern w:val="2"/>
      <w:sz w:val="18"/>
      <w:szCs w:val="18"/>
    </w:rPr>
  </w:style>
  <w:style w:type="character" w:customStyle="1" w:styleId="13">
    <w:name w:val="页脚 Char"/>
    <w:basedOn w:val="9"/>
    <w:link w:val="6"/>
    <w:qFormat/>
    <w:uiPriority w:val="0"/>
    <w:rPr>
      <w:rFonts w:asciiTheme="minorHAnsi" w:hAnsiTheme="minorHAnsi" w:eastAsiaTheme="minorEastAsia" w:cstheme="minorBidi"/>
      <w:kern w:val="2"/>
      <w:sz w:val="18"/>
      <w:szCs w:val="18"/>
    </w:rPr>
  </w:style>
  <w:style w:type="character" w:customStyle="1" w:styleId="14">
    <w:name w:val="批注框文本 Char"/>
    <w:basedOn w:val="9"/>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Www.SangSan.Cn</Company>
  <Pages>17</Pages>
  <Words>2064</Words>
  <Characters>11770</Characters>
  <Lines>98</Lines>
  <Paragraphs>27</Paragraphs>
  <TotalTime>0</TotalTime>
  <ScaleCrop>false</ScaleCrop>
  <LinksUpToDate>false</LinksUpToDate>
  <CharactersWithSpaces>13807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2021-04-08T03:23:00Z</dcterms:created>
  <dc:creator>Administrator</dc:creator>
  <cp:lastModifiedBy>Czy.</cp:lastModifiedBy>
  <dcterms:modified xsi:type="dcterms:W3CDTF">2021-07-14T07:51:47Z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1777E6E122744B94A9BA4BF8B8553159</vt:lpwstr>
  </property>
</Properties>
</file>